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72D0E" w14:textId="77777777" w:rsidR="007E73EE" w:rsidRDefault="007E73EE" w:rsidP="003646C2">
      <w:pPr>
        <w:pStyle w:val="Default"/>
        <w:spacing w:line="276" w:lineRule="auto"/>
      </w:pPr>
    </w:p>
    <w:p w14:paraId="5B46D05C" w14:textId="77777777" w:rsidR="00BE46EB" w:rsidRDefault="007E73EE" w:rsidP="003646C2">
      <w:pPr>
        <w:pStyle w:val="Default"/>
        <w:spacing w:line="276" w:lineRule="auto"/>
        <w:rPr>
          <w:b/>
          <w:bCs/>
          <w:color w:val="FF0000"/>
          <w:sz w:val="23"/>
          <w:szCs w:val="23"/>
        </w:rPr>
      </w:pPr>
      <w:r>
        <w:t xml:space="preserve"> </w:t>
      </w:r>
      <w:r>
        <w:rPr>
          <w:b/>
          <w:bCs/>
          <w:color w:val="FF0000"/>
          <w:sz w:val="23"/>
          <w:szCs w:val="23"/>
        </w:rPr>
        <w:t xml:space="preserve">TITULO EN ESPAÑOL </w:t>
      </w:r>
    </w:p>
    <w:p w14:paraId="094AAC96" w14:textId="77777777" w:rsidR="00BE46EB" w:rsidRDefault="00BE46EB" w:rsidP="003646C2">
      <w:pPr>
        <w:pStyle w:val="Default"/>
        <w:spacing w:line="276" w:lineRule="auto"/>
        <w:rPr>
          <w:b/>
          <w:bCs/>
          <w:color w:val="FF0000"/>
          <w:sz w:val="23"/>
          <w:szCs w:val="23"/>
        </w:rPr>
      </w:pPr>
    </w:p>
    <w:p w14:paraId="6FE864E7" w14:textId="77777777" w:rsidR="00BE46EB" w:rsidRDefault="007E73EE" w:rsidP="003646C2">
      <w:pPr>
        <w:pStyle w:val="Default"/>
        <w:spacing w:line="276" w:lineRule="auto"/>
        <w:rPr>
          <w:b/>
          <w:bCs/>
          <w:color w:val="FF0000"/>
          <w:sz w:val="23"/>
          <w:szCs w:val="23"/>
        </w:rPr>
      </w:pPr>
      <w:r>
        <w:rPr>
          <w:b/>
          <w:bCs/>
          <w:color w:val="FF0000"/>
          <w:sz w:val="23"/>
          <w:szCs w:val="23"/>
        </w:rPr>
        <w:t xml:space="preserve">Análisis documental de las prácticas educativas inclusivas que facilitan el aprendizaje de los estudiantes con (TEA) en el nivel de educación inicial, con énfasis en los recursos didácticos. </w:t>
      </w:r>
    </w:p>
    <w:p w14:paraId="14CF4709" w14:textId="77777777" w:rsidR="00BE46EB" w:rsidRDefault="00BE46EB" w:rsidP="003646C2">
      <w:pPr>
        <w:pStyle w:val="Default"/>
        <w:spacing w:line="276" w:lineRule="auto"/>
        <w:rPr>
          <w:b/>
          <w:bCs/>
          <w:color w:val="FF0000"/>
          <w:sz w:val="23"/>
          <w:szCs w:val="23"/>
        </w:rPr>
      </w:pPr>
    </w:p>
    <w:p w14:paraId="5AC87C7B" w14:textId="77777777" w:rsidR="00BE46EB" w:rsidRDefault="007E73EE" w:rsidP="003646C2">
      <w:pPr>
        <w:pStyle w:val="Default"/>
        <w:spacing w:line="276" w:lineRule="auto"/>
        <w:rPr>
          <w:color w:val="FF0000"/>
          <w:sz w:val="23"/>
          <w:szCs w:val="23"/>
          <w:lang w:val="en-US"/>
        </w:rPr>
      </w:pPr>
      <w:r w:rsidRPr="007E73EE">
        <w:rPr>
          <w:color w:val="FF0000"/>
          <w:sz w:val="23"/>
          <w:szCs w:val="23"/>
          <w:lang w:val="en-US"/>
        </w:rPr>
        <w:t>TITULO EN INGLES</w:t>
      </w:r>
    </w:p>
    <w:p w14:paraId="6CC6C073" w14:textId="77777777" w:rsidR="00BE46EB" w:rsidRDefault="00BE46EB" w:rsidP="003646C2">
      <w:pPr>
        <w:pStyle w:val="Default"/>
        <w:spacing w:line="276" w:lineRule="auto"/>
        <w:rPr>
          <w:color w:val="FF0000"/>
          <w:sz w:val="23"/>
          <w:szCs w:val="23"/>
          <w:lang w:val="en-US"/>
        </w:rPr>
      </w:pPr>
    </w:p>
    <w:p w14:paraId="50981C58" w14:textId="59A035D6" w:rsidR="007E73EE" w:rsidRDefault="007E73EE" w:rsidP="003646C2">
      <w:pPr>
        <w:pStyle w:val="Default"/>
        <w:spacing w:line="276" w:lineRule="auto"/>
        <w:rPr>
          <w:color w:val="FF0000"/>
          <w:sz w:val="23"/>
          <w:szCs w:val="23"/>
          <w:lang w:val="en-US"/>
        </w:rPr>
      </w:pPr>
      <w:r w:rsidRPr="007E73EE">
        <w:rPr>
          <w:color w:val="FF0000"/>
          <w:sz w:val="23"/>
          <w:szCs w:val="23"/>
          <w:lang w:val="en-US"/>
        </w:rPr>
        <w:t xml:space="preserve"> Documentary analysis of inclusive educational practices that facilitate learning of students with (TEA) at the initial education </w:t>
      </w:r>
      <w:r w:rsidR="009C5D55" w:rsidRPr="007E73EE">
        <w:rPr>
          <w:color w:val="FF0000"/>
          <w:sz w:val="23"/>
          <w:szCs w:val="23"/>
          <w:lang w:val="en-US"/>
        </w:rPr>
        <w:t>level,</w:t>
      </w:r>
      <w:r w:rsidRPr="007E73EE">
        <w:rPr>
          <w:color w:val="FF0000"/>
          <w:sz w:val="23"/>
          <w:szCs w:val="23"/>
          <w:lang w:val="en-US"/>
        </w:rPr>
        <w:t xml:space="preserve"> with emphasis on teaching resources.</w:t>
      </w:r>
    </w:p>
    <w:p w14:paraId="510B13FD" w14:textId="77777777" w:rsidR="00BE46EB" w:rsidRPr="007E73EE" w:rsidRDefault="00BE46EB" w:rsidP="003646C2">
      <w:pPr>
        <w:pStyle w:val="Default"/>
        <w:spacing w:line="276" w:lineRule="auto"/>
        <w:rPr>
          <w:color w:val="FF0000"/>
          <w:sz w:val="23"/>
          <w:szCs w:val="23"/>
          <w:lang w:val="en-US"/>
        </w:rPr>
      </w:pPr>
    </w:p>
    <w:p w14:paraId="01AFB4A4" w14:textId="127A7211" w:rsidR="00BE46EB" w:rsidRDefault="007E73EE" w:rsidP="009C5D55">
      <w:pPr>
        <w:pStyle w:val="Default"/>
        <w:spacing w:line="276" w:lineRule="auto"/>
        <w:jc w:val="right"/>
        <w:rPr>
          <w:sz w:val="23"/>
          <w:szCs w:val="23"/>
        </w:rPr>
      </w:pPr>
      <w:r>
        <w:rPr>
          <w:sz w:val="23"/>
          <w:szCs w:val="23"/>
        </w:rPr>
        <w:t>APELLIDOS Y NOMBRE AUTORES</w:t>
      </w:r>
    </w:p>
    <w:p w14:paraId="504E324A" w14:textId="77777777" w:rsidR="00BE46EB" w:rsidRDefault="00BE46EB" w:rsidP="009C5D55">
      <w:pPr>
        <w:pStyle w:val="Default"/>
        <w:spacing w:line="276" w:lineRule="auto"/>
        <w:jc w:val="right"/>
        <w:rPr>
          <w:sz w:val="23"/>
          <w:szCs w:val="23"/>
        </w:rPr>
      </w:pPr>
    </w:p>
    <w:p w14:paraId="3B86DAED" w14:textId="7E76BD0E" w:rsidR="00BE46EB" w:rsidRDefault="007E73EE" w:rsidP="009C5D55">
      <w:pPr>
        <w:pStyle w:val="Default"/>
        <w:spacing w:line="276" w:lineRule="auto"/>
        <w:jc w:val="right"/>
        <w:rPr>
          <w:sz w:val="23"/>
          <w:szCs w:val="23"/>
        </w:rPr>
      </w:pPr>
      <w:r>
        <w:rPr>
          <w:sz w:val="23"/>
          <w:szCs w:val="23"/>
        </w:rPr>
        <w:t>Solis Gamboa Evelyn Carolina</w:t>
      </w:r>
    </w:p>
    <w:p w14:paraId="7E10764E" w14:textId="2C3FBBD9" w:rsidR="00BE46EB" w:rsidRDefault="00BE46EB" w:rsidP="009C5D55">
      <w:pPr>
        <w:pStyle w:val="Default"/>
        <w:spacing w:line="276" w:lineRule="auto"/>
        <w:jc w:val="right"/>
        <w:rPr>
          <w:sz w:val="23"/>
          <w:szCs w:val="23"/>
        </w:rPr>
      </w:pPr>
    </w:p>
    <w:p w14:paraId="155E1B4D" w14:textId="24162DC1" w:rsidR="00BE46EB" w:rsidRDefault="007E73EE" w:rsidP="009C5D55">
      <w:pPr>
        <w:pStyle w:val="Default"/>
        <w:spacing w:line="276" w:lineRule="auto"/>
        <w:jc w:val="right"/>
        <w:rPr>
          <w:sz w:val="23"/>
          <w:szCs w:val="23"/>
        </w:rPr>
      </w:pPr>
      <w:r>
        <w:rPr>
          <w:sz w:val="23"/>
          <w:szCs w:val="23"/>
        </w:rPr>
        <w:t>INSTITUCIÓN</w:t>
      </w:r>
    </w:p>
    <w:p w14:paraId="69637A9F" w14:textId="01E60841" w:rsidR="00BE46EB" w:rsidRDefault="007E73EE" w:rsidP="009C5D55">
      <w:pPr>
        <w:pStyle w:val="Default"/>
        <w:spacing w:line="276" w:lineRule="auto"/>
        <w:jc w:val="right"/>
        <w:rPr>
          <w:sz w:val="23"/>
          <w:szCs w:val="23"/>
        </w:rPr>
      </w:pPr>
      <w:r>
        <w:rPr>
          <w:sz w:val="23"/>
          <w:szCs w:val="23"/>
        </w:rPr>
        <w:t>Universidad Politécnica Salesiana</w:t>
      </w:r>
    </w:p>
    <w:p w14:paraId="233CBB7C" w14:textId="77777777" w:rsidR="00BE46EB" w:rsidRDefault="00BE46EB" w:rsidP="009C5D55">
      <w:pPr>
        <w:pStyle w:val="Default"/>
        <w:spacing w:line="276" w:lineRule="auto"/>
        <w:jc w:val="right"/>
        <w:rPr>
          <w:sz w:val="23"/>
          <w:szCs w:val="23"/>
        </w:rPr>
      </w:pPr>
    </w:p>
    <w:p w14:paraId="235E7841" w14:textId="70D74F7F" w:rsidR="00BE46EB" w:rsidRDefault="007E73EE" w:rsidP="009C5D55">
      <w:pPr>
        <w:pStyle w:val="Default"/>
        <w:spacing w:line="276" w:lineRule="auto"/>
        <w:jc w:val="right"/>
        <w:rPr>
          <w:sz w:val="23"/>
          <w:szCs w:val="23"/>
        </w:rPr>
      </w:pPr>
      <w:r>
        <w:rPr>
          <w:sz w:val="23"/>
          <w:szCs w:val="23"/>
        </w:rPr>
        <w:t>E´MAIL</w:t>
      </w:r>
    </w:p>
    <w:p w14:paraId="768446E3" w14:textId="58AE2FF9" w:rsidR="007E73EE" w:rsidRDefault="0063266B" w:rsidP="009C5D55">
      <w:pPr>
        <w:pStyle w:val="Default"/>
        <w:spacing w:line="276" w:lineRule="auto"/>
        <w:jc w:val="right"/>
        <w:rPr>
          <w:sz w:val="23"/>
          <w:szCs w:val="23"/>
        </w:rPr>
      </w:pPr>
      <w:hyperlink r:id="rId4" w:history="1">
        <w:r w:rsidR="009C5D55" w:rsidRPr="00773553">
          <w:rPr>
            <w:rStyle w:val="Hipervnculo"/>
            <w:sz w:val="23"/>
            <w:szCs w:val="23"/>
          </w:rPr>
          <w:t>esolisg@est.ups.edu.ec</w:t>
        </w:r>
      </w:hyperlink>
    </w:p>
    <w:p w14:paraId="34D05C66" w14:textId="5113F76E" w:rsidR="009C5D55" w:rsidRDefault="0063266B" w:rsidP="009C5D55">
      <w:pPr>
        <w:pStyle w:val="Default"/>
        <w:spacing w:line="276" w:lineRule="auto"/>
        <w:jc w:val="right"/>
        <w:rPr>
          <w:sz w:val="23"/>
          <w:szCs w:val="23"/>
        </w:rPr>
      </w:pPr>
      <w:hyperlink r:id="rId5" w:history="1">
        <w:r w:rsidR="009C5D55" w:rsidRPr="00773553">
          <w:rPr>
            <w:rStyle w:val="Hipervnculo"/>
            <w:sz w:val="23"/>
            <w:szCs w:val="23"/>
          </w:rPr>
          <w:t>mgallegos@ups.edu.ec</w:t>
        </w:r>
      </w:hyperlink>
    </w:p>
    <w:p w14:paraId="217A1CC2" w14:textId="77777777" w:rsidR="009C5D55" w:rsidRDefault="009C5D55" w:rsidP="009C5D55">
      <w:pPr>
        <w:pStyle w:val="Default"/>
        <w:spacing w:line="276" w:lineRule="auto"/>
        <w:jc w:val="right"/>
        <w:rPr>
          <w:sz w:val="23"/>
          <w:szCs w:val="23"/>
        </w:rPr>
      </w:pPr>
    </w:p>
    <w:p w14:paraId="11EFF6B7" w14:textId="77777777" w:rsidR="00BE46EB" w:rsidRDefault="00BE46EB" w:rsidP="007E73EE">
      <w:pPr>
        <w:pStyle w:val="Default"/>
        <w:rPr>
          <w:sz w:val="23"/>
          <w:szCs w:val="23"/>
        </w:rPr>
      </w:pPr>
    </w:p>
    <w:p w14:paraId="3730DCFC" w14:textId="3CE601CE" w:rsidR="00BE46EB" w:rsidRDefault="007E73EE" w:rsidP="007E73EE">
      <w:pPr>
        <w:pStyle w:val="Default"/>
        <w:rPr>
          <w:b/>
          <w:bCs/>
          <w:sz w:val="23"/>
          <w:szCs w:val="23"/>
        </w:rPr>
      </w:pPr>
      <w:r>
        <w:rPr>
          <w:b/>
          <w:bCs/>
          <w:sz w:val="23"/>
          <w:szCs w:val="23"/>
        </w:rPr>
        <w:t xml:space="preserve">Resumen </w:t>
      </w:r>
    </w:p>
    <w:p w14:paraId="5EE01380" w14:textId="77777777" w:rsidR="00BE46EB" w:rsidRDefault="00BE46EB" w:rsidP="007E73EE">
      <w:pPr>
        <w:pStyle w:val="Default"/>
        <w:rPr>
          <w:b/>
          <w:bCs/>
          <w:sz w:val="23"/>
          <w:szCs w:val="23"/>
        </w:rPr>
      </w:pPr>
    </w:p>
    <w:p w14:paraId="63221E86" w14:textId="180E82F8" w:rsidR="0063266B" w:rsidRPr="0063266B" w:rsidRDefault="0063266B" w:rsidP="0063266B">
      <w:pPr>
        <w:spacing w:line="276" w:lineRule="auto"/>
        <w:jc w:val="both"/>
        <w:rPr>
          <w:rFonts w:ascii="Arial" w:hAnsi="Arial" w:cs="Arial"/>
          <w:color w:val="000000"/>
          <w:sz w:val="24"/>
          <w:szCs w:val="24"/>
        </w:rPr>
      </w:pPr>
      <w:r w:rsidRPr="0063266B">
        <w:rPr>
          <w:rFonts w:ascii="Arial" w:hAnsi="Arial" w:cs="Arial"/>
          <w:b/>
          <w:bCs/>
          <w:color w:val="000000"/>
          <w:sz w:val="24"/>
          <w:szCs w:val="24"/>
        </w:rPr>
        <w:t xml:space="preserve"> </w:t>
      </w:r>
      <w:r w:rsidRPr="0063266B">
        <w:rPr>
          <w:rFonts w:ascii="Arial" w:hAnsi="Arial" w:cs="Arial"/>
          <w:color w:val="000000"/>
          <w:sz w:val="24"/>
          <w:szCs w:val="24"/>
        </w:rPr>
        <w:t xml:space="preserve">Las prácticas inclusivas se convierten en una herramienta fundamental para todos los estudiantes que poseen Trastorno del Espectro Autista, pues les ayuda a impulsar las potencialidades, habilidades, actitudes y competencias para un entorno de enseñanza-aprendizaje más enriquecedor, equitativo; así como beneficioso para todas y todos los estudiantes que poseen estas características (Bejarano, Garzón y Arias, 2020). De allí que, la finalidad del presente artículo es establecer las prácticas educativas inclusivas que facilitan el aprendizaje de los estudiantes con autismo en el nivel de educación inicial con énfasis en los recursos didácticos. Este trabajo es de corte cualitativo, dado que a través de la revisión documental se orienta a la comprensión de la forma en la que beneficia que, los docentes utilicen recursos didácticos inclusivos que permitan la participación de todos los estudiantes dejando de lado la discriminación y segregación en el aula de clase pese a las diferentes particularidades que los pueden distar del resto del grupo por su forma de aprendizaje. Para la revisión bibliográfica realizada, se utilizan 6 fuentes de búsqueda académica ProQuest, Scopus, SciELO, Dialnet, Redalyc y Web of ciencia; mismos que dan paso a identificar la educación inclusiva aplicada a </w:t>
      </w:r>
      <w:r w:rsidRPr="0063266B">
        <w:rPr>
          <w:rFonts w:ascii="Arial" w:hAnsi="Arial" w:cs="Arial"/>
          <w:color w:val="000000"/>
          <w:sz w:val="24"/>
          <w:szCs w:val="24"/>
        </w:rPr>
        <w:lastRenderedPageBreak/>
        <w:t>estudiantes con autismo y los recursos didácticos vinculantes. Los resultados obtenidos vislumbran que emplear los materiales adecuados por los docentes hacia las necesidades de los estudiantes de educación inicial con autismo, si bien actualmente está auge el aumento de investigaciones con relación a este tema.</w:t>
      </w:r>
    </w:p>
    <w:p w14:paraId="4BA07A62" w14:textId="5B3A3578" w:rsidR="007E73EE" w:rsidRDefault="007E73EE" w:rsidP="00BE46EB">
      <w:pPr>
        <w:pStyle w:val="Default"/>
        <w:spacing w:line="360" w:lineRule="auto"/>
        <w:jc w:val="both"/>
      </w:pPr>
    </w:p>
    <w:p w14:paraId="214DE231" w14:textId="43EB29EC" w:rsidR="003646C2" w:rsidRDefault="003646C2" w:rsidP="00BE46EB">
      <w:pPr>
        <w:pStyle w:val="Default"/>
        <w:spacing w:line="360" w:lineRule="auto"/>
        <w:jc w:val="both"/>
      </w:pPr>
    </w:p>
    <w:p w14:paraId="2C00E1D8" w14:textId="77777777" w:rsidR="003646C2" w:rsidRDefault="003646C2" w:rsidP="003646C2">
      <w:pPr>
        <w:pStyle w:val="Default"/>
        <w:rPr>
          <w:sz w:val="23"/>
          <w:szCs w:val="23"/>
        </w:rPr>
      </w:pPr>
      <w:r>
        <w:rPr>
          <w:b/>
          <w:bCs/>
          <w:sz w:val="23"/>
          <w:szCs w:val="23"/>
        </w:rPr>
        <w:t xml:space="preserve">Palabras clave: </w:t>
      </w:r>
    </w:p>
    <w:p w14:paraId="38E4DA8F" w14:textId="77777777" w:rsidR="003646C2" w:rsidRDefault="003646C2" w:rsidP="003646C2">
      <w:pPr>
        <w:rPr>
          <w:rFonts w:ascii="Times New Roman" w:hAnsi="Times New Roman" w:cs="Times New Roman"/>
          <w:sz w:val="32"/>
          <w:szCs w:val="32"/>
        </w:rPr>
      </w:pPr>
    </w:p>
    <w:p w14:paraId="3EA1778A" w14:textId="77777777" w:rsidR="003646C2" w:rsidRPr="003646C2" w:rsidRDefault="003646C2" w:rsidP="003646C2">
      <w:pPr>
        <w:rPr>
          <w:rFonts w:ascii="Arial" w:hAnsi="Arial" w:cs="Arial"/>
          <w:sz w:val="36"/>
          <w:szCs w:val="36"/>
        </w:rPr>
      </w:pPr>
      <w:r w:rsidRPr="003646C2">
        <w:rPr>
          <w:rFonts w:ascii="Arial" w:hAnsi="Arial" w:cs="Arial"/>
          <w:color w:val="000000"/>
          <w:sz w:val="24"/>
          <w:szCs w:val="24"/>
        </w:rPr>
        <w:t>Educación inclusiva, educación inicial, recursos didácticos, Trastorno del Espectro Autista</w:t>
      </w:r>
    </w:p>
    <w:p w14:paraId="2FB41E73" w14:textId="77777777" w:rsidR="003646C2" w:rsidRDefault="003646C2" w:rsidP="00BE46EB">
      <w:pPr>
        <w:pStyle w:val="Default"/>
        <w:spacing w:line="360" w:lineRule="auto"/>
        <w:jc w:val="both"/>
      </w:pPr>
    </w:p>
    <w:p w14:paraId="4309D955" w14:textId="6BE36AD1" w:rsidR="00BE46EB" w:rsidRDefault="00BE46EB" w:rsidP="00BE46EB">
      <w:pPr>
        <w:pStyle w:val="Default"/>
        <w:spacing w:line="360" w:lineRule="auto"/>
        <w:jc w:val="both"/>
      </w:pPr>
    </w:p>
    <w:p w14:paraId="0E85C512" w14:textId="6482824D" w:rsidR="00BE46EB" w:rsidRPr="0063266B" w:rsidRDefault="00BE46EB" w:rsidP="0063266B">
      <w:pPr>
        <w:rPr>
          <w:rFonts w:ascii="Arial" w:hAnsi="Arial" w:cs="Arial"/>
          <w:sz w:val="32"/>
          <w:szCs w:val="32"/>
          <w:lang w:val="en-US"/>
        </w:rPr>
      </w:pPr>
      <w:r w:rsidRPr="0063266B">
        <w:rPr>
          <w:rFonts w:ascii="Arial" w:hAnsi="Arial" w:cs="Arial"/>
          <w:b/>
          <w:bCs/>
          <w:sz w:val="23"/>
          <w:szCs w:val="23"/>
          <w:lang w:val="en-US"/>
        </w:rPr>
        <w:t>Abstract</w:t>
      </w:r>
    </w:p>
    <w:p w14:paraId="7EC19BCA" w14:textId="77777777" w:rsidR="0063266B" w:rsidRPr="0063266B" w:rsidRDefault="0063266B" w:rsidP="0063266B">
      <w:pPr>
        <w:pStyle w:val="Default"/>
        <w:spacing w:line="276" w:lineRule="auto"/>
        <w:jc w:val="both"/>
        <w:rPr>
          <w:rStyle w:val="q4iawc"/>
          <w:lang w:val="en"/>
        </w:rPr>
      </w:pPr>
      <w:r w:rsidRPr="0063266B">
        <w:rPr>
          <w:rStyle w:val="q4iawc"/>
          <w:lang w:val="en"/>
        </w:rPr>
        <w:t>Inclusive practices become a fundamental tool for all students with Autism Spectrum Disorder, as it helps them promote potentialities, skills, attitudes and competencies for a more enriching, equitable teaching-learning environment; as well as beneficial for all students who have these characteristics (Bejarano, Garzón and Arias, 2020). Hence, the purpose of this article is to establish inclusive educational practices that facilitate the learning of students with autism at the initial education level with emphasis on teaching resources. This work is qualitative, given that through the documentary review it is oriented to the understanding of the way in which it benefits teachers to use inclusive didactic resources that allow the participation of all students, leaving aside discrimination and segregation. in the classroom despite the different peculiarities that may distance them from the rest of the group due to their way of learning. For the bibliographic review carried out, 6 academic search sources ProQuest, Scopus, SciELO, Dialnet, Redalyc and Web of science are used; same that give way to identify inclusive education applied to students with autism and binding teaching resources. The results obtained show that teachers use the appropriate materials to meet the needs of early childhood education students with autism, although research on this topic is currently on the rise.</w:t>
      </w:r>
    </w:p>
    <w:p w14:paraId="43E13C9A" w14:textId="1507C39C" w:rsidR="003646C2" w:rsidRPr="0063266B" w:rsidRDefault="003646C2" w:rsidP="003646C2">
      <w:pPr>
        <w:rPr>
          <w:rFonts w:ascii="Arial" w:hAnsi="Arial" w:cs="Arial"/>
          <w:lang w:val="en"/>
        </w:rPr>
      </w:pPr>
    </w:p>
    <w:p w14:paraId="65E7E1B4" w14:textId="15A3333B" w:rsidR="003646C2" w:rsidRPr="009C5D55" w:rsidRDefault="003646C2" w:rsidP="003646C2">
      <w:pPr>
        <w:rPr>
          <w:rFonts w:ascii="Arial" w:hAnsi="Arial" w:cs="Arial"/>
          <w:b/>
          <w:bCs/>
          <w:lang w:val="en-US"/>
        </w:rPr>
      </w:pPr>
      <w:r w:rsidRPr="009C5D55">
        <w:rPr>
          <w:rFonts w:ascii="Arial" w:hAnsi="Arial" w:cs="Arial"/>
          <w:b/>
          <w:bCs/>
          <w:lang w:val="en-US"/>
        </w:rPr>
        <w:t>Key words</w:t>
      </w:r>
    </w:p>
    <w:p w14:paraId="30F11D60" w14:textId="2D00B588" w:rsidR="003646C2" w:rsidRPr="009C5D55" w:rsidRDefault="003646C2" w:rsidP="003646C2">
      <w:pPr>
        <w:rPr>
          <w:rFonts w:ascii="Arial" w:hAnsi="Arial" w:cs="Arial"/>
          <w:b/>
          <w:bCs/>
          <w:lang w:val="en-US"/>
        </w:rPr>
      </w:pPr>
    </w:p>
    <w:p w14:paraId="0F40EB17" w14:textId="64B73E1C" w:rsidR="003646C2" w:rsidRDefault="003646C2" w:rsidP="003646C2">
      <w:pPr>
        <w:rPr>
          <w:rStyle w:val="q4iawc"/>
          <w:rFonts w:ascii="Arial" w:hAnsi="Arial" w:cs="Arial"/>
          <w:sz w:val="24"/>
          <w:szCs w:val="24"/>
          <w:lang w:val="en"/>
        </w:rPr>
      </w:pPr>
      <w:r w:rsidRPr="008A2127">
        <w:rPr>
          <w:rFonts w:ascii="Arial" w:hAnsi="Arial" w:cs="Arial"/>
          <w:sz w:val="24"/>
          <w:szCs w:val="24"/>
          <w:lang w:val="en-US"/>
        </w:rPr>
        <w:t xml:space="preserve">Inclusive education, Initial education, </w:t>
      </w:r>
      <w:r w:rsidR="008A2127" w:rsidRPr="008A2127">
        <w:rPr>
          <w:rFonts w:ascii="Arial" w:hAnsi="Arial" w:cs="Arial"/>
          <w:sz w:val="24"/>
          <w:szCs w:val="24"/>
          <w:lang w:val="en-US"/>
        </w:rPr>
        <w:t>didactic r</w:t>
      </w:r>
      <w:r w:rsidR="008A2127">
        <w:rPr>
          <w:rFonts w:ascii="Arial" w:hAnsi="Arial" w:cs="Arial"/>
          <w:sz w:val="24"/>
          <w:szCs w:val="24"/>
          <w:lang w:val="en-US"/>
        </w:rPr>
        <w:t xml:space="preserve">esourses, </w:t>
      </w:r>
      <w:r w:rsidR="008A2127" w:rsidRPr="008A2127">
        <w:rPr>
          <w:rStyle w:val="q4iawc"/>
          <w:rFonts w:ascii="Arial" w:hAnsi="Arial" w:cs="Arial"/>
          <w:sz w:val="24"/>
          <w:szCs w:val="24"/>
          <w:lang w:val="en"/>
        </w:rPr>
        <w:t>autism spectrum disorder</w:t>
      </w:r>
    </w:p>
    <w:p w14:paraId="64D6ABEF" w14:textId="77777777" w:rsidR="008A2127" w:rsidRDefault="008A2127" w:rsidP="003646C2">
      <w:pPr>
        <w:rPr>
          <w:rStyle w:val="q4iawc"/>
          <w:rFonts w:ascii="Arial" w:hAnsi="Arial" w:cs="Arial"/>
          <w:sz w:val="24"/>
          <w:szCs w:val="24"/>
          <w:lang w:val="en"/>
        </w:rPr>
      </w:pPr>
    </w:p>
    <w:p w14:paraId="1306C2A5" w14:textId="0565F44F" w:rsidR="008A2127" w:rsidRDefault="008A2127" w:rsidP="003646C2">
      <w:pPr>
        <w:rPr>
          <w:rStyle w:val="q4iawc"/>
          <w:rFonts w:ascii="Arial" w:hAnsi="Arial" w:cs="Arial"/>
          <w:sz w:val="24"/>
          <w:szCs w:val="24"/>
          <w:lang w:val="en"/>
        </w:rPr>
      </w:pPr>
    </w:p>
    <w:p w14:paraId="335A2F4D" w14:textId="3181254E" w:rsidR="008A2127" w:rsidRPr="009C5D55" w:rsidRDefault="008A2127" w:rsidP="003646C2">
      <w:pPr>
        <w:rPr>
          <w:rStyle w:val="q4iawc"/>
          <w:rFonts w:ascii="Arial" w:hAnsi="Arial" w:cs="Arial"/>
          <w:sz w:val="24"/>
          <w:szCs w:val="24"/>
        </w:rPr>
      </w:pPr>
      <w:r w:rsidRPr="009C5D55">
        <w:rPr>
          <w:rStyle w:val="q4iawc"/>
          <w:rFonts w:ascii="Arial" w:hAnsi="Arial" w:cs="Arial"/>
          <w:b/>
          <w:bCs/>
          <w:sz w:val="24"/>
          <w:szCs w:val="24"/>
        </w:rPr>
        <w:lastRenderedPageBreak/>
        <w:t>Sobre los autores</w:t>
      </w:r>
      <w:r w:rsidRPr="009C5D55">
        <w:rPr>
          <w:rStyle w:val="q4iawc"/>
          <w:rFonts w:ascii="Arial" w:hAnsi="Arial" w:cs="Arial"/>
          <w:sz w:val="24"/>
          <w:szCs w:val="24"/>
        </w:rPr>
        <w:t>:</w:t>
      </w:r>
    </w:p>
    <w:p w14:paraId="673BE494" w14:textId="723E4A2D" w:rsidR="008A2127" w:rsidRDefault="008A2127" w:rsidP="008A2127">
      <w:pPr>
        <w:pStyle w:val="Default"/>
      </w:pPr>
    </w:p>
    <w:p w14:paraId="5AB08EB7" w14:textId="6C50B6B3" w:rsidR="009C5D55" w:rsidRDefault="009C5D55" w:rsidP="008A2127">
      <w:pPr>
        <w:pStyle w:val="Default"/>
        <w:rPr>
          <w:b/>
          <w:bCs/>
        </w:rPr>
      </w:pPr>
      <w:r w:rsidRPr="009C5D55">
        <w:rPr>
          <w:b/>
          <w:bCs/>
        </w:rPr>
        <w:t>Institución Educativa:</w:t>
      </w:r>
    </w:p>
    <w:p w14:paraId="6F7DF2F3" w14:textId="77777777" w:rsidR="009C5D55" w:rsidRDefault="009C5D55" w:rsidP="008A2127">
      <w:pPr>
        <w:pStyle w:val="Default"/>
        <w:rPr>
          <w:b/>
          <w:bCs/>
        </w:rPr>
      </w:pPr>
    </w:p>
    <w:p w14:paraId="32713064" w14:textId="5D6AEBC5" w:rsidR="009C5D55" w:rsidRDefault="009C5D55" w:rsidP="008A2127">
      <w:pPr>
        <w:pStyle w:val="Default"/>
      </w:pPr>
      <w:r>
        <w:t>Universidad Politécnica Salesiana Quito-Ecuador</w:t>
      </w:r>
    </w:p>
    <w:p w14:paraId="427A63BA" w14:textId="77777777" w:rsidR="009C5D55" w:rsidRPr="009C5D55" w:rsidRDefault="009C5D55" w:rsidP="008A2127">
      <w:pPr>
        <w:pStyle w:val="Default"/>
      </w:pPr>
    </w:p>
    <w:p w14:paraId="7B774AA8" w14:textId="77777777" w:rsidR="008A2127" w:rsidRDefault="008A2127" w:rsidP="008A2127">
      <w:pPr>
        <w:rPr>
          <w:rFonts w:ascii="Arial" w:hAnsi="Arial" w:cs="Arial"/>
          <w:b/>
          <w:bCs/>
          <w:sz w:val="24"/>
          <w:szCs w:val="24"/>
        </w:rPr>
      </w:pPr>
      <w:r w:rsidRPr="008A2127">
        <w:rPr>
          <w:rFonts w:ascii="Arial" w:hAnsi="Arial" w:cs="Arial"/>
          <w:b/>
          <w:bCs/>
          <w:sz w:val="24"/>
          <w:szCs w:val="24"/>
        </w:rPr>
        <w:t>Nombre</w:t>
      </w:r>
      <w:r>
        <w:rPr>
          <w:rFonts w:ascii="Arial" w:hAnsi="Arial" w:cs="Arial"/>
          <w:b/>
          <w:bCs/>
          <w:sz w:val="24"/>
          <w:szCs w:val="24"/>
        </w:rPr>
        <w:t>s</w:t>
      </w:r>
      <w:r w:rsidRPr="008A2127">
        <w:rPr>
          <w:rFonts w:ascii="Arial" w:hAnsi="Arial" w:cs="Arial"/>
          <w:b/>
          <w:bCs/>
          <w:sz w:val="24"/>
          <w:szCs w:val="24"/>
        </w:rPr>
        <w:t xml:space="preserve"> y apellido</w:t>
      </w:r>
      <w:r>
        <w:rPr>
          <w:rFonts w:ascii="Arial" w:hAnsi="Arial" w:cs="Arial"/>
          <w:b/>
          <w:bCs/>
          <w:sz w:val="24"/>
          <w:szCs w:val="24"/>
        </w:rPr>
        <w:t>s</w:t>
      </w:r>
      <w:r w:rsidRPr="008A2127">
        <w:rPr>
          <w:rFonts w:ascii="Arial" w:hAnsi="Arial" w:cs="Arial"/>
          <w:b/>
          <w:bCs/>
          <w:sz w:val="24"/>
          <w:szCs w:val="24"/>
        </w:rPr>
        <w:t xml:space="preserve">: </w:t>
      </w:r>
    </w:p>
    <w:p w14:paraId="4500E1AC" w14:textId="16635317" w:rsidR="008A2127" w:rsidRPr="008A2127" w:rsidRDefault="008A2127" w:rsidP="008A2127">
      <w:pPr>
        <w:rPr>
          <w:rFonts w:ascii="Arial" w:hAnsi="Arial" w:cs="Arial"/>
          <w:sz w:val="24"/>
          <w:szCs w:val="24"/>
        </w:rPr>
      </w:pPr>
      <w:r w:rsidRPr="008A2127">
        <w:rPr>
          <w:rFonts w:ascii="Arial" w:hAnsi="Arial" w:cs="Arial"/>
          <w:sz w:val="24"/>
          <w:szCs w:val="24"/>
        </w:rPr>
        <w:t>Evelyn</w:t>
      </w:r>
      <w:r>
        <w:rPr>
          <w:rFonts w:ascii="Arial" w:hAnsi="Arial" w:cs="Arial"/>
          <w:sz w:val="24"/>
          <w:szCs w:val="24"/>
        </w:rPr>
        <w:t xml:space="preserve"> Carolina </w:t>
      </w:r>
      <w:r w:rsidRPr="008A2127">
        <w:rPr>
          <w:rFonts w:ascii="Arial" w:hAnsi="Arial" w:cs="Arial"/>
          <w:sz w:val="24"/>
          <w:szCs w:val="24"/>
        </w:rPr>
        <w:t>Solis</w:t>
      </w:r>
      <w:r>
        <w:rPr>
          <w:rFonts w:ascii="Arial" w:hAnsi="Arial" w:cs="Arial"/>
          <w:sz w:val="24"/>
          <w:szCs w:val="24"/>
        </w:rPr>
        <w:t xml:space="preserve"> Gamboa</w:t>
      </w:r>
    </w:p>
    <w:p w14:paraId="582A225B" w14:textId="77777777" w:rsidR="008A2127" w:rsidRDefault="008A2127" w:rsidP="008A2127">
      <w:pPr>
        <w:rPr>
          <w:rFonts w:ascii="Arial" w:hAnsi="Arial" w:cs="Arial"/>
          <w:b/>
          <w:bCs/>
          <w:sz w:val="24"/>
          <w:szCs w:val="24"/>
        </w:rPr>
      </w:pPr>
      <w:r w:rsidRPr="008A2127">
        <w:rPr>
          <w:rFonts w:ascii="Arial" w:hAnsi="Arial" w:cs="Arial"/>
          <w:b/>
          <w:bCs/>
          <w:sz w:val="24"/>
          <w:szCs w:val="24"/>
        </w:rPr>
        <w:t xml:space="preserve">Dirección postal completa: </w:t>
      </w:r>
    </w:p>
    <w:p w14:paraId="65BAB5D1" w14:textId="2A77FCCE" w:rsidR="008A2127" w:rsidRPr="008A2127" w:rsidRDefault="008A2127" w:rsidP="008A2127">
      <w:pPr>
        <w:rPr>
          <w:rFonts w:ascii="Arial" w:hAnsi="Arial" w:cs="Arial"/>
          <w:sz w:val="24"/>
          <w:szCs w:val="24"/>
        </w:rPr>
      </w:pPr>
      <w:r w:rsidRPr="008A2127">
        <w:rPr>
          <w:rFonts w:ascii="Arial" w:hAnsi="Arial" w:cs="Arial"/>
          <w:sz w:val="24"/>
          <w:szCs w:val="24"/>
        </w:rPr>
        <w:t>Pichincha- Quito, Valle del Cenepa y Camilo Orejuela OE8-146 código postal: 170707</w:t>
      </w:r>
    </w:p>
    <w:p w14:paraId="17D1BFC9" w14:textId="77777777" w:rsidR="008A2127" w:rsidRDefault="008A2127" w:rsidP="008A2127">
      <w:pPr>
        <w:rPr>
          <w:rFonts w:ascii="Arial" w:hAnsi="Arial" w:cs="Arial"/>
          <w:b/>
          <w:bCs/>
          <w:sz w:val="24"/>
          <w:szCs w:val="24"/>
        </w:rPr>
      </w:pPr>
      <w:r w:rsidRPr="008A2127">
        <w:rPr>
          <w:rFonts w:ascii="Arial" w:hAnsi="Arial" w:cs="Arial"/>
          <w:b/>
          <w:bCs/>
          <w:sz w:val="24"/>
          <w:szCs w:val="24"/>
        </w:rPr>
        <w:t xml:space="preserve">Teléfono: </w:t>
      </w:r>
    </w:p>
    <w:p w14:paraId="089DDDD3" w14:textId="1936C776" w:rsidR="008A2127" w:rsidRPr="008A2127" w:rsidRDefault="008A2127" w:rsidP="003646C2">
      <w:pPr>
        <w:rPr>
          <w:rFonts w:ascii="Arial" w:hAnsi="Arial" w:cs="Arial"/>
          <w:sz w:val="24"/>
          <w:szCs w:val="24"/>
        </w:rPr>
      </w:pPr>
      <w:r w:rsidRPr="008A2127">
        <w:rPr>
          <w:rFonts w:ascii="Arial" w:hAnsi="Arial" w:cs="Arial"/>
          <w:sz w:val="24"/>
          <w:szCs w:val="24"/>
        </w:rPr>
        <w:t>0998404638</w:t>
      </w:r>
      <w:r>
        <w:rPr>
          <w:rFonts w:ascii="Arial" w:hAnsi="Arial" w:cs="Arial"/>
          <w:sz w:val="24"/>
          <w:szCs w:val="24"/>
        </w:rPr>
        <w:t>/ 3682287</w:t>
      </w:r>
    </w:p>
    <w:sectPr w:rsidR="008A2127" w:rsidRPr="008A212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49C"/>
    <w:rsid w:val="000D4783"/>
    <w:rsid w:val="00264E79"/>
    <w:rsid w:val="003646C2"/>
    <w:rsid w:val="0063266B"/>
    <w:rsid w:val="007E73EE"/>
    <w:rsid w:val="008A2127"/>
    <w:rsid w:val="0099049C"/>
    <w:rsid w:val="009C5D55"/>
    <w:rsid w:val="00BE46EB"/>
    <w:rsid w:val="00D00E81"/>
    <w:rsid w:val="00F3710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6A28"/>
  <w15:chartTrackingRefBased/>
  <w15:docId w15:val="{6229D1F9-34D1-47F8-B505-8F970F8D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9049C"/>
    <w:pPr>
      <w:autoSpaceDE w:val="0"/>
      <w:autoSpaceDN w:val="0"/>
      <w:adjustRightInd w:val="0"/>
      <w:spacing w:after="0" w:line="240" w:lineRule="auto"/>
    </w:pPr>
    <w:rPr>
      <w:rFonts w:ascii="Arial" w:hAnsi="Arial" w:cs="Arial"/>
      <w:color w:val="000000"/>
      <w:sz w:val="24"/>
      <w:szCs w:val="24"/>
    </w:rPr>
  </w:style>
  <w:style w:type="character" w:customStyle="1" w:styleId="q4iawc">
    <w:name w:val="q4iawc"/>
    <w:basedOn w:val="Fuentedeprrafopredeter"/>
    <w:rsid w:val="00BE46EB"/>
  </w:style>
  <w:style w:type="character" w:styleId="Hipervnculo">
    <w:name w:val="Hyperlink"/>
    <w:basedOn w:val="Fuentedeprrafopredeter"/>
    <w:uiPriority w:val="99"/>
    <w:unhideWhenUsed/>
    <w:rsid w:val="009C5D55"/>
    <w:rPr>
      <w:color w:val="0563C1" w:themeColor="hyperlink"/>
      <w:u w:val="single"/>
    </w:rPr>
  </w:style>
  <w:style w:type="character" w:styleId="Mencinsinresolver">
    <w:name w:val="Unresolved Mention"/>
    <w:basedOn w:val="Fuentedeprrafopredeter"/>
    <w:uiPriority w:val="99"/>
    <w:semiHidden/>
    <w:unhideWhenUsed/>
    <w:rsid w:val="009C5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gallegos@ups.edu.ec" TargetMode="External"/><Relationship Id="rId4" Type="http://schemas.openxmlformats.org/officeDocument/2006/relationships/hyperlink" Target="mailto:esolisg@est.ups.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644</Words>
  <Characters>3544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 Evelyn Carolina Solis Gamboa</dc:creator>
  <cp:keywords/>
  <dc:description/>
  <cp:lastModifiedBy>Est. Evelyn Carolina Solis Gamboa</cp:lastModifiedBy>
  <cp:revision>6</cp:revision>
  <dcterms:created xsi:type="dcterms:W3CDTF">2022-06-11T02:51:00Z</dcterms:created>
  <dcterms:modified xsi:type="dcterms:W3CDTF">2022-06-11T13:01:00Z</dcterms:modified>
</cp:coreProperties>
</file>