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7D3CF2" w14:textId="77777777" w:rsidR="00F8117A" w:rsidRDefault="00F8117A">
      <w:pPr>
        <w:pStyle w:val="Textoindependiente"/>
        <w:spacing w:before="11"/>
        <w:rPr>
          <w:rFonts w:ascii="Times New Roman"/>
          <w:b w:val="0"/>
          <w:sz w:val="8"/>
        </w:rPr>
      </w:pPr>
    </w:p>
    <w:p w14:paraId="7A97EB79" w14:textId="77777777" w:rsidR="00F8117A" w:rsidRPr="00E91FA0" w:rsidRDefault="00E91FA0" w:rsidP="00E91FA0">
      <w:pPr>
        <w:pStyle w:val="Textoindependiente"/>
        <w:spacing w:before="92"/>
        <w:ind w:left="102"/>
        <w:jc w:val="both"/>
        <w:rPr>
          <w:color w:val="FF0000"/>
        </w:rPr>
      </w:pPr>
      <w:r w:rsidRPr="00E91FA0">
        <w:rPr>
          <w:color w:val="FF0000"/>
        </w:rPr>
        <w:t>FACTORES DE RIESGO Y PROTECTORES DEL BURNOUT EN DOCENTES QUE ATIENDEN A ALUMNADO CON NECESIDADES ESPECÍFICAS DE APOYO EDUCATIVO (NEAE) EN EL AULA ORDINARIA</w:t>
      </w:r>
    </w:p>
    <w:p w14:paraId="31317FD0" w14:textId="77777777" w:rsidR="00E91FA0" w:rsidRDefault="00E91FA0">
      <w:pPr>
        <w:spacing w:before="137"/>
        <w:ind w:left="102"/>
        <w:rPr>
          <w:color w:val="FF0000"/>
          <w:sz w:val="24"/>
        </w:rPr>
      </w:pPr>
    </w:p>
    <w:p w14:paraId="530115F8" w14:textId="77777777" w:rsidR="00F8117A" w:rsidRPr="00E91FA0" w:rsidRDefault="00E91FA0">
      <w:pPr>
        <w:pStyle w:val="Textoindependiente"/>
        <w:rPr>
          <w:b w:val="0"/>
          <w:color w:val="FF0000"/>
          <w:lang w:val="en-US"/>
        </w:rPr>
      </w:pPr>
      <w:r w:rsidRPr="00E91FA0">
        <w:rPr>
          <w:b w:val="0"/>
          <w:color w:val="FF0000"/>
          <w:lang w:val="en-US"/>
        </w:rPr>
        <w:t>RISK AND PROTECTOR FACTORS OF BURNOUT IN TEACHERS OF STUDENTS WITH SPECIFIC NEEDS OF EDUCATIONAL SUPPORT (SNES) ATTENDING REGULAR CLASSROOMS</w:t>
      </w:r>
    </w:p>
    <w:p w14:paraId="6BB4A8E7" w14:textId="77777777" w:rsidR="00F8117A" w:rsidRPr="00E91FA0" w:rsidRDefault="00F8117A">
      <w:pPr>
        <w:pStyle w:val="Textoindependiente"/>
        <w:rPr>
          <w:b w:val="0"/>
          <w:sz w:val="20"/>
          <w:lang w:val="en-US"/>
        </w:rPr>
      </w:pPr>
    </w:p>
    <w:p w14:paraId="0CC08FA5" w14:textId="77777777" w:rsidR="00F8117A" w:rsidRDefault="00E91FA0">
      <w:pPr>
        <w:spacing w:before="92"/>
        <w:ind w:right="118"/>
        <w:jc w:val="right"/>
        <w:rPr>
          <w:sz w:val="24"/>
          <w:vertAlign w:val="superscript"/>
        </w:rPr>
      </w:pPr>
      <w:r>
        <w:rPr>
          <w:sz w:val="24"/>
        </w:rPr>
        <w:t>Flores, Noelia</w:t>
      </w:r>
    </w:p>
    <w:p w14:paraId="52536BCE" w14:textId="77777777" w:rsidR="00E91FA0" w:rsidRDefault="00E91FA0">
      <w:pPr>
        <w:spacing w:before="92"/>
        <w:ind w:right="118"/>
        <w:jc w:val="right"/>
        <w:rPr>
          <w:sz w:val="24"/>
        </w:rPr>
      </w:pPr>
      <w:r w:rsidRPr="00E91FA0">
        <w:rPr>
          <w:sz w:val="24"/>
        </w:rPr>
        <w:t>Instituto Universitario de Integración en la Comunidad (INICO), Universidad de Salamanca</w:t>
      </w:r>
    </w:p>
    <w:p w14:paraId="655BA6E2" w14:textId="77777777" w:rsidR="00E91FA0" w:rsidRDefault="00B32A94">
      <w:pPr>
        <w:spacing w:before="92"/>
        <w:ind w:right="118"/>
        <w:jc w:val="right"/>
        <w:rPr>
          <w:sz w:val="24"/>
        </w:rPr>
      </w:pPr>
      <w:hyperlink r:id="rId5" w:history="1">
        <w:r w:rsidR="00E91FA0" w:rsidRPr="00692890">
          <w:rPr>
            <w:rStyle w:val="Hipervnculo"/>
            <w:sz w:val="24"/>
          </w:rPr>
          <w:t>nrobaina@usal.es</w:t>
        </w:r>
      </w:hyperlink>
    </w:p>
    <w:p w14:paraId="081E1F45" w14:textId="77777777" w:rsidR="00E91FA0" w:rsidRDefault="00E91FA0">
      <w:pPr>
        <w:spacing w:before="92"/>
        <w:ind w:right="118"/>
        <w:jc w:val="right"/>
        <w:rPr>
          <w:sz w:val="24"/>
        </w:rPr>
      </w:pPr>
    </w:p>
    <w:p w14:paraId="06A25484" w14:textId="77777777" w:rsidR="00E91FA0" w:rsidRDefault="00E91FA0">
      <w:pPr>
        <w:spacing w:before="92"/>
        <w:ind w:right="118"/>
        <w:jc w:val="right"/>
        <w:rPr>
          <w:sz w:val="24"/>
        </w:rPr>
      </w:pPr>
      <w:r>
        <w:rPr>
          <w:sz w:val="24"/>
        </w:rPr>
        <w:t>Flórez-Cajamarca, Ana Mª</w:t>
      </w:r>
    </w:p>
    <w:p w14:paraId="1C90F325" w14:textId="77777777" w:rsidR="00E91FA0" w:rsidRDefault="00E91FA0">
      <w:pPr>
        <w:spacing w:before="92"/>
        <w:ind w:right="118"/>
        <w:jc w:val="right"/>
        <w:rPr>
          <w:sz w:val="24"/>
        </w:rPr>
      </w:pPr>
      <w:r w:rsidRPr="00E91FA0">
        <w:rPr>
          <w:sz w:val="24"/>
        </w:rPr>
        <w:t>Máster Universitario en Estudios Avanzados sobre el lenguaje, la comunicación y sus patologías, Universidad de Salamanca</w:t>
      </w:r>
    </w:p>
    <w:p w14:paraId="7FCC85D7" w14:textId="77777777" w:rsidR="00E91FA0" w:rsidRDefault="00B32A94">
      <w:pPr>
        <w:spacing w:before="92"/>
        <w:ind w:right="118"/>
        <w:jc w:val="right"/>
        <w:rPr>
          <w:sz w:val="24"/>
        </w:rPr>
      </w:pPr>
      <w:hyperlink r:id="rId6" w:history="1">
        <w:r w:rsidR="00E91FA0" w:rsidRPr="00692890">
          <w:rPr>
            <w:rStyle w:val="Hipervnculo"/>
            <w:sz w:val="24"/>
          </w:rPr>
          <w:t>anamariaflo@usal.es</w:t>
        </w:r>
      </w:hyperlink>
    </w:p>
    <w:p w14:paraId="64377A2C" w14:textId="77777777" w:rsidR="00E91FA0" w:rsidRPr="00E91FA0" w:rsidRDefault="00E91FA0">
      <w:pPr>
        <w:spacing w:before="92"/>
        <w:ind w:right="118"/>
        <w:jc w:val="right"/>
        <w:rPr>
          <w:sz w:val="24"/>
        </w:rPr>
      </w:pPr>
    </w:p>
    <w:p w14:paraId="3F56C792" w14:textId="77777777" w:rsidR="00E91FA0" w:rsidRDefault="00E91FA0">
      <w:pPr>
        <w:spacing w:before="92"/>
        <w:ind w:right="118"/>
        <w:jc w:val="right"/>
        <w:rPr>
          <w:sz w:val="24"/>
        </w:rPr>
      </w:pPr>
    </w:p>
    <w:p w14:paraId="7F3300DB" w14:textId="77777777" w:rsidR="00E91FA0" w:rsidRDefault="00E91FA0">
      <w:pPr>
        <w:spacing w:before="92"/>
        <w:ind w:right="118"/>
        <w:jc w:val="right"/>
        <w:rPr>
          <w:sz w:val="24"/>
          <w:vertAlign w:val="superscript"/>
        </w:rPr>
      </w:pPr>
      <w:r>
        <w:rPr>
          <w:sz w:val="24"/>
        </w:rPr>
        <w:t>Jenaro, Cristina</w:t>
      </w:r>
    </w:p>
    <w:p w14:paraId="62B4C313" w14:textId="77777777" w:rsidR="00E91FA0" w:rsidRDefault="00E91FA0">
      <w:pPr>
        <w:spacing w:before="92"/>
        <w:ind w:right="118"/>
        <w:jc w:val="right"/>
        <w:rPr>
          <w:sz w:val="24"/>
        </w:rPr>
      </w:pPr>
      <w:r w:rsidRPr="00E91FA0">
        <w:rPr>
          <w:sz w:val="24"/>
        </w:rPr>
        <w:t>Instituto Universitario de Integración en la Comunidad (INICO), Universidad de Salamanca</w:t>
      </w:r>
    </w:p>
    <w:p w14:paraId="4BAC90EF" w14:textId="77777777" w:rsidR="00F8117A" w:rsidRPr="00E91FA0" w:rsidRDefault="00B32A94" w:rsidP="00E91FA0">
      <w:pPr>
        <w:spacing w:before="92"/>
        <w:ind w:right="118"/>
        <w:jc w:val="right"/>
        <w:rPr>
          <w:sz w:val="24"/>
        </w:rPr>
      </w:pPr>
      <w:hyperlink r:id="rId7" w:history="1">
        <w:r w:rsidR="00E91FA0" w:rsidRPr="00692890">
          <w:rPr>
            <w:rStyle w:val="Hipervnculo"/>
            <w:sz w:val="24"/>
          </w:rPr>
          <w:t>crisje@usal.es</w:t>
        </w:r>
      </w:hyperlink>
    </w:p>
    <w:p w14:paraId="36410348" w14:textId="77777777" w:rsidR="00F8117A" w:rsidRDefault="00F8117A">
      <w:pPr>
        <w:pStyle w:val="Textoindependiente"/>
        <w:rPr>
          <w:b w:val="0"/>
          <w:sz w:val="20"/>
        </w:rPr>
      </w:pPr>
    </w:p>
    <w:p w14:paraId="7727AE8E" w14:textId="39109897" w:rsidR="00E91FA0" w:rsidRDefault="00023D8C">
      <w:pPr>
        <w:pStyle w:val="Textoindependiente"/>
        <w:spacing w:before="92" w:line="720" w:lineRule="auto"/>
        <w:ind w:left="102" w:right="7200"/>
        <w:rPr>
          <w:spacing w:val="1"/>
        </w:rPr>
      </w:pPr>
      <w:r>
        <w:t>Resumen</w:t>
      </w:r>
      <w:r w:rsidR="00E91FA0">
        <w:rPr>
          <w:spacing w:val="1"/>
        </w:rPr>
        <w:t xml:space="preserve">: </w:t>
      </w:r>
    </w:p>
    <w:p w14:paraId="48606FC7" w14:textId="77777777" w:rsidR="00E91FA0" w:rsidRDefault="00E91FA0" w:rsidP="00E91FA0">
      <w:pPr>
        <w:spacing w:line="276" w:lineRule="auto"/>
        <w:jc w:val="both"/>
        <w:rPr>
          <w:sz w:val="24"/>
          <w:szCs w:val="24"/>
        </w:rPr>
      </w:pPr>
      <w:r w:rsidRPr="00E91FA0">
        <w:rPr>
          <w:sz w:val="24"/>
          <w:szCs w:val="24"/>
        </w:rPr>
        <w:t>La profesión docente es una de las más vulnerables a experimentar riesgos psicosociales. El síndrome de burnout puede repercutir en la atención y respuesta educativa que se ofrece al alumnado con necesidades específicas de apoyo educativo (NEAE). El objetivo de este trabajo consistió en conocer los principales factores de riesgo y protectores del burnout en docentes que atienden a alumnos con NEAE en el aula ordinaria. Para ello mediante un diseño transversal ex post facto se evalúo a 64 docentes pertenecientes a colegios ordinarios que impartían docencia en las etapas de Infantil, Primaria, Secundaria y Bachillerato y que atendían a alumnos con NEAE en el aula. Los resultados revelaron la presencia de burnout y su asociación significativa con variables contextuales y factores relacionados con la atención a las NEAE. Por su parte, la resiliencia y el engagement o ilusión por el trabajo actuaron como protectores frente al síndrome y se relacionaron con una mejor atención y bienestar laboral en el docente. Se discuten los resultados, y se ofrecen pautas para el fomento de la salud y la mejora de inclusión educativa de estos alumnos en el aula ordinaria.</w:t>
      </w:r>
    </w:p>
    <w:p w14:paraId="36ACF83D" w14:textId="77777777" w:rsidR="00E91FA0" w:rsidRPr="00E91FA0" w:rsidRDefault="00E91FA0" w:rsidP="00E91FA0">
      <w:pPr>
        <w:spacing w:line="276" w:lineRule="auto"/>
        <w:jc w:val="both"/>
        <w:rPr>
          <w:sz w:val="24"/>
          <w:szCs w:val="24"/>
        </w:rPr>
      </w:pPr>
    </w:p>
    <w:p w14:paraId="24BC18EC" w14:textId="12D1DF28" w:rsidR="00E91FA0" w:rsidRPr="00E91FA0" w:rsidRDefault="00023D8C" w:rsidP="00E91FA0">
      <w:pPr>
        <w:spacing w:line="276" w:lineRule="auto"/>
        <w:jc w:val="both"/>
        <w:rPr>
          <w:sz w:val="24"/>
          <w:szCs w:val="24"/>
        </w:rPr>
      </w:pPr>
      <w:r w:rsidRPr="00E91FA0">
        <w:rPr>
          <w:b/>
          <w:bCs/>
          <w:sz w:val="24"/>
          <w:szCs w:val="24"/>
        </w:rPr>
        <w:lastRenderedPageBreak/>
        <w:t>Palabras clave:</w:t>
      </w:r>
      <w:r w:rsidR="00E91FA0">
        <w:rPr>
          <w:spacing w:val="-64"/>
        </w:rPr>
        <w:t xml:space="preserve"> </w:t>
      </w:r>
      <w:r w:rsidR="00E91FA0" w:rsidRPr="00E91FA0">
        <w:rPr>
          <w:sz w:val="24"/>
          <w:szCs w:val="24"/>
        </w:rPr>
        <w:t>Alumnos con necesidades específicas de apoyo educativo (NEAE), Burnout Docente, Engagement, Factores de riesgo, Inclusión Educativa, Resiliencia</w:t>
      </w:r>
    </w:p>
    <w:p w14:paraId="5F14EAA0" w14:textId="77777777" w:rsidR="00E91FA0" w:rsidRDefault="00E91FA0">
      <w:pPr>
        <w:pStyle w:val="Textoindependiente"/>
        <w:spacing w:before="92" w:line="720" w:lineRule="auto"/>
        <w:ind w:left="102" w:right="7200"/>
      </w:pPr>
    </w:p>
    <w:p w14:paraId="4079F49C" w14:textId="77777777" w:rsidR="00F8117A" w:rsidRPr="00E91FA0" w:rsidRDefault="00023D8C">
      <w:pPr>
        <w:pStyle w:val="Textoindependiente"/>
        <w:spacing w:before="92" w:line="720" w:lineRule="auto"/>
        <w:ind w:left="102" w:right="7200"/>
        <w:rPr>
          <w:lang w:val="en-US"/>
        </w:rPr>
      </w:pPr>
      <w:r w:rsidRPr="00E91FA0">
        <w:rPr>
          <w:lang w:val="en-US"/>
        </w:rPr>
        <w:t>Abstract</w:t>
      </w:r>
      <w:r w:rsidR="00E91FA0">
        <w:rPr>
          <w:lang w:val="en-US"/>
        </w:rPr>
        <w:t xml:space="preserve">: </w:t>
      </w:r>
    </w:p>
    <w:p w14:paraId="21A9E183" w14:textId="77777777" w:rsidR="00E91FA0" w:rsidRPr="00E91FA0" w:rsidRDefault="00E91FA0" w:rsidP="00E91FA0">
      <w:pPr>
        <w:pStyle w:val="Sinespaciado"/>
        <w:spacing w:line="276" w:lineRule="auto"/>
        <w:jc w:val="both"/>
        <w:rPr>
          <w:rFonts w:ascii="Arial" w:hAnsi="Arial" w:cs="Arial"/>
          <w:iCs/>
          <w:sz w:val="24"/>
          <w:szCs w:val="24"/>
          <w:lang w:val="en-US"/>
        </w:rPr>
      </w:pPr>
      <w:r w:rsidRPr="00E91FA0">
        <w:rPr>
          <w:rFonts w:ascii="Arial" w:hAnsi="Arial" w:cs="Arial"/>
          <w:iCs/>
          <w:sz w:val="24"/>
          <w:szCs w:val="24"/>
          <w:lang w:val="en-US"/>
        </w:rPr>
        <w:t>The teaching profession is one of the most vulnerable to experiencing psychosocial risks. Burnout syndrome can affect the attention and educational response offered with students with specific needs of educational support (SNES). The objective of this work was to identify the main risk and protective factors of burnout in teachers who attend students with SNES in the regular classroom. By means of a cross-sectional and ex post facto design, 64 teachers from regular schools who taught in Preschool, Primary, Secondary and High school levels and who had students with SNES in the classroom were assessed. The results revealed the presence of burnout and its significant association with contextual variables and factors related to meeting the needs of SNES. On the other hand, resilience and work engagement or job enjoyment acted as protectors against the syndrome and were related to better care and job well-being. The results are discussed, and guidelines are offered to promote health and improve the educational inclusion of these students in the ordinary classroom.</w:t>
      </w:r>
    </w:p>
    <w:p w14:paraId="0D3D1418" w14:textId="77777777" w:rsidR="00E91FA0" w:rsidRPr="00E91FA0" w:rsidRDefault="00E91FA0">
      <w:pPr>
        <w:pStyle w:val="Textoindependiente"/>
        <w:spacing w:before="92" w:line="720" w:lineRule="auto"/>
        <w:ind w:left="102" w:right="7200"/>
        <w:rPr>
          <w:lang w:val="en-US"/>
        </w:rPr>
      </w:pPr>
    </w:p>
    <w:p w14:paraId="7B38845A" w14:textId="77777777" w:rsidR="00E91FA0" w:rsidRPr="00E91FA0" w:rsidRDefault="00023D8C" w:rsidP="00E91FA0">
      <w:pPr>
        <w:spacing w:line="276" w:lineRule="auto"/>
        <w:jc w:val="both"/>
        <w:rPr>
          <w:b/>
          <w:bCs/>
          <w:iCs/>
          <w:sz w:val="24"/>
          <w:szCs w:val="24"/>
          <w:lang w:val="en-US"/>
        </w:rPr>
      </w:pPr>
      <w:r w:rsidRPr="00E91FA0">
        <w:rPr>
          <w:b/>
          <w:bCs/>
          <w:sz w:val="24"/>
          <w:szCs w:val="24"/>
          <w:lang w:val="en-US"/>
        </w:rPr>
        <w:t>Key</w:t>
      </w:r>
      <w:r w:rsidRPr="00E91FA0">
        <w:rPr>
          <w:b/>
          <w:bCs/>
          <w:spacing w:val="-7"/>
          <w:sz w:val="24"/>
          <w:szCs w:val="24"/>
          <w:lang w:val="en-US"/>
        </w:rPr>
        <w:t xml:space="preserve"> </w:t>
      </w:r>
      <w:r w:rsidRPr="00E91FA0">
        <w:rPr>
          <w:b/>
          <w:bCs/>
          <w:sz w:val="24"/>
          <w:szCs w:val="24"/>
          <w:lang w:val="en-US"/>
        </w:rPr>
        <w:t>words:</w:t>
      </w:r>
      <w:r w:rsidR="00E91FA0" w:rsidRPr="00E91FA0">
        <w:rPr>
          <w:lang w:val="en-US"/>
        </w:rPr>
        <w:t xml:space="preserve"> </w:t>
      </w:r>
      <w:r w:rsidR="00E91FA0" w:rsidRPr="00E91FA0">
        <w:rPr>
          <w:bCs/>
          <w:iCs/>
          <w:sz w:val="24"/>
          <w:szCs w:val="24"/>
          <w:lang w:val="en-US"/>
        </w:rPr>
        <w:t>Students with specific needs of educational support (SNES), Teaching burnout, Engagement, Risk factors, Educational Inclusion, Resilience.</w:t>
      </w:r>
    </w:p>
    <w:p w14:paraId="423A7445" w14:textId="77777777" w:rsidR="00F8117A" w:rsidRPr="00E91FA0" w:rsidRDefault="00F8117A">
      <w:pPr>
        <w:pStyle w:val="Textoindependiente"/>
        <w:spacing w:before="155"/>
        <w:ind w:left="102"/>
        <w:rPr>
          <w:lang w:val="en-US"/>
        </w:rPr>
      </w:pPr>
    </w:p>
    <w:p w14:paraId="578B5368" w14:textId="77777777" w:rsidR="00F8117A" w:rsidRPr="00E91FA0" w:rsidRDefault="00F8117A">
      <w:pPr>
        <w:pStyle w:val="Textoindependiente"/>
        <w:rPr>
          <w:sz w:val="20"/>
          <w:lang w:val="en-US"/>
        </w:rPr>
      </w:pPr>
    </w:p>
    <w:p w14:paraId="170B9C8B" w14:textId="77777777" w:rsidR="00F8117A" w:rsidRPr="00E91FA0" w:rsidRDefault="00F8117A">
      <w:pPr>
        <w:pStyle w:val="Textoindependiente"/>
        <w:rPr>
          <w:sz w:val="20"/>
          <w:lang w:val="en-US"/>
        </w:rPr>
      </w:pPr>
    </w:p>
    <w:p w14:paraId="33813938" w14:textId="77777777" w:rsidR="00F8117A" w:rsidRDefault="00023D8C">
      <w:pPr>
        <w:pStyle w:val="Textoindependiente"/>
        <w:spacing w:before="92"/>
        <w:ind w:left="102"/>
      </w:pPr>
      <w:r>
        <w:t>--------------------------------------------------------------------------------</w:t>
      </w:r>
    </w:p>
    <w:p w14:paraId="7F7CE013" w14:textId="77777777" w:rsidR="00F8117A" w:rsidRDefault="00F8117A">
      <w:pPr>
        <w:pStyle w:val="Textoindependiente"/>
      </w:pPr>
    </w:p>
    <w:p w14:paraId="74AD24B9" w14:textId="77777777" w:rsidR="00F8117A" w:rsidRDefault="00023D8C">
      <w:pPr>
        <w:pStyle w:val="Textoindependiente"/>
        <w:ind w:left="102"/>
      </w:pPr>
      <w:r>
        <w:t>Sobre los</w:t>
      </w:r>
      <w:r>
        <w:rPr>
          <w:spacing w:val="-2"/>
        </w:rPr>
        <w:t xml:space="preserve"> </w:t>
      </w:r>
      <w:r>
        <w:t>autores:</w:t>
      </w:r>
    </w:p>
    <w:p w14:paraId="3166B5BC" w14:textId="77777777" w:rsidR="00F8117A" w:rsidRDefault="00F8117A">
      <w:pPr>
        <w:pStyle w:val="Textoindependiente"/>
        <w:spacing w:before="4"/>
        <w:rPr>
          <w:sz w:val="22"/>
        </w:rPr>
      </w:pPr>
    </w:p>
    <w:p w14:paraId="4C56AFC2" w14:textId="6A545976" w:rsidR="00F8117A" w:rsidRPr="0024428D" w:rsidRDefault="00E91FA0" w:rsidP="0024428D">
      <w:pPr>
        <w:ind w:left="102"/>
        <w:jc w:val="both"/>
        <w:rPr>
          <w:sz w:val="24"/>
        </w:rPr>
      </w:pPr>
      <w:r w:rsidRPr="0024428D">
        <w:rPr>
          <w:sz w:val="24"/>
        </w:rPr>
        <w:t>Noelia Flores es Profesora Titular y miembro del Instituto Universitario de Integración en la Comunidad (INICO)</w:t>
      </w:r>
      <w:r w:rsidR="0024428D" w:rsidRPr="0024428D">
        <w:rPr>
          <w:sz w:val="24"/>
        </w:rPr>
        <w:t>,</w:t>
      </w:r>
      <w:r w:rsidRPr="0024428D">
        <w:rPr>
          <w:sz w:val="24"/>
        </w:rPr>
        <w:t xml:space="preserve"> de la Universidad de Salamanca</w:t>
      </w:r>
      <w:r w:rsidR="00F151FC">
        <w:rPr>
          <w:sz w:val="24"/>
        </w:rPr>
        <w:t>.</w:t>
      </w:r>
    </w:p>
    <w:p w14:paraId="34A183BD" w14:textId="77777777" w:rsidR="00E91FA0" w:rsidRPr="0024428D" w:rsidRDefault="00E91FA0" w:rsidP="0024428D">
      <w:pPr>
        <w:ind w:left="102"/>
        <w:jc w:val="both"/>
        <w:rPr>
          <w:sz w:val="24"/>
        </w:rPr>
      </w:pPr>
    </w:p>
    <w:p w14:paraId="3347B078" w14:textId="77777777" w:rsidR="00E91FA0" w:rsidRPr="0024428D" w:rsidRDefault="00E91FA0" w:rsidP="0024428D">
      <w:pPr>
        <w:ind w:left="102"/>
        <w:jc w:val="both"/>
        <w:rPr>
          <w:sz w:val="24"/>
        </w:rPr>
      </w:pPr>
      <w:r w:rsidRPr="00F151FC">
        <w:rPr>
          <w:sz w:val="24"/>
        </w:rPr>
        <w:t xml:space="preserve">Ana Mª Flórez-Cajamarca es </w:t>
      </w:r>
      <w:r w:rsidR="00C547F0" w:rsidRPr="00F151FC">
        <w:rPr>
          <w:sz w:val="24"/>
        </w:rPr>
        <w:t>Profesora de Educación Infantil</w:t>
      </w:r>
      <w:r w:rsidR="0024428D" w:rsidRPr="00F151FC">
        <w:rPr>
          <w:sz w:val="24"/>
        </w:rPr>
        <w:t xml:space="preserve"> y especialista en Estudios Avanzados sobre el lenguaje, la comunicación y sus patologías por la Universidad de Salamanca.</w:t>
      </w:r>
      <w:r w:rsidR="0024428D" w:rsidRPr="0024428D">
        <w:rPr>
          <w:sz w:val="24"/>
        </w:rPr>
        <w:t xml:space="preserve"> </w:t>
      </w:r>
    </w:p>
    <w:p w14:paraId="6049B805" w14:textId="77777777" w:rsidR="0024428D" w:rsidRPr="0024428D" w:rsidRDefault="0024428D" w:rsidP="0024428D">
      <w:pPr>
        <w:ind w:left="102"/>
        <w:jc w:val="both"/>
        <w:rPr>
          <w:sz w:val="24"/>
        </w:rPr>
      </w:pPr>
    </w:p>
    <w:p w14:paraId="07257C26" w14:textId="40F906C4" w:rsidR="0024428D" w:rsidRPr="0024428D" w:rsidRDefault="0024428D" w:rsidP="0024428D">
      <w:pPr>
        <w:ind w:left="102"/>
        <w:jc w:val="both"/>
        <w:rPr>
          <w:sz w:val="24"/>
        </w:rPr>
      </w:pPr>
      <w:r w:rsidRPr="0024428D">
        <w:rPr>
          <w:sz w:val="24"/>
        </w:rPr>
        <w:t>Cristina Jenaro Río es Catedrática de Universidad y miembro del Instituto Universitario de Integración en la Comunidad (INICO), de la Universidad de Salamanca</w:t>
      </w:r>
      <w:r w:rsidR="00F151FC">
        <w:rPr>
          <w:sz w:val="24"/>
        </w:rPr>
        <w:t>.</w:t>
      </w:r>
    </w:p>
    <w:sectPr w:rsidR="0024428D" w:rsidRPr="0024428D" w:rsidSect="00075BB3">
      <w:type w:val="continuous"/>
      <w:pgSz w:w="12250" w:h="15850"/>
      <w:pgMar w:top="150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5700F1"/>
    <w:multiLevelType w:val="hybridMultilevel"/>
    <w:tmpl w:val="2078E1CA"/>
    <w:lvl w:ilvl="0" w:tplc="9CA2A478">
      <w:start w:val="1"/>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F8117A"/>
    <w:rsid w:val="00023D8C"/>
    <w:rsid w:val="00075BB3"/>
    <w:rsid w:val="0024428D"/>
    <w:rsid w:val="00963D37"/>
    <w:rsid w:val="00B32A94"/>
    <w:rsid w:val="00C547F0"/>
    <w:rsid w:val="00E91FA0"/>
    <w:rsid w:val="00F151FC"/>
    <w:rsid w:val="00F811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DBA78"/>
  <w15:docId w15:val="{966FBF8B-C53F-4B61-BA13-1B0E2764E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BB3"/>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075BB3"/>
    <w:tblPr>
      <w:tblInd w:w="0" w:type="dxa"/>
      <w:tblCellMar>
        <w:top w:w="0" w:type="dxa"/>
        <w:left w:w="0" w:type="dxa"/>
        <w:bottom w:w="0" w:type="dxa"/>
        <w:right w:w="0" w:type="dxa"/>
      </w:tblCellMar>
    </w:tblPr>
  </w:style>
  <w:style w:type="paragraph" w:styleId="Textoindependiente">
    <w:name w:val="Body Text"/>
    <w:basedOn w:val="Normal"/>
    <w:uiPriority w:val="1"/>
    <w:qFormat/>
    <w:rsid w:val="00075BB3"/>
    <w:rPr>
      <w:b/>
      <w:bCs/>
      <w:sz w:val="24"/>
      <w:szCs w:val="24"/>
    </w:rPr>
  </w:style>
  <w:style w:type="paragraph" w:styleId="Prrafodelista">
    <w:name w:val="List Paragraph"/>
    <w:basedOn w:val="Normal"/>
    <w:uiPriority w:val="1"/>
    <w:qFormat/>
    <w:rsid w:val="00075BB3"/>
  </w:style>
  <w:style w:type="paragraph" w:customStyle="1" w:styleId="TableParagraph">
    <w:name w:val="Table Paragraph"/>
    <w:basedOn w:val="Normal"/>
    <w:uiPriority w:val="1"/>
    <w:qFormat/>
    <w:rsid w:val="00075BB3"/>
  </w:style>
  <w:style w:type="character" w:styleId="Hipervnculo">
    <w:name w:val="Hyperlink"/>
    <w:basedOn w:val="Fuentedeprrafopredeter"/>
    <w:uiPriority w:val="99"/>
    <w:unhideWhenUsed/>
    <w:rsid w:val="00E91FA0"/>
    <w:rPr>
      <w:color w:val="0000FF" w:themeColor="hyperlink"/>
      <w:u w:val="single"/>
    </w:rPr>
  </w:style>
  <w:style w:type="character" w:customStyle="1" w:styleId="Mencinsinresolver1">
    <w:name w:val="Mención sin resolver1"/>
    <w:basedOn w:val="Fuentedeprrafopredeter"/>
    <w:uiPriority w:val="99"/>
    <w:semiHidden/>
    <w:unhideWhenUsed/>
    <w:rsid w:val="00E91FA0"/>
    <w:rPr>
      <w:color w:val="605E5C"/>
      <w:shd w:val="clear" w:color="auto" w:fill="E1DFDD"/>
    </w:rPr>
  </w:style>
  <w:style w:type="paragraph" w:styleId="Sinespaciado">
    <w:name w:val="No Spacing"/>
    <w:uiPriority w:val="1"/>
    <w:qFormat/>
    <w:rsid w:val="00E91FA0"/>
    <w:pPr>
      <w:widowControl/>
      <w:autoSpaceDE/>
      <w:autoSpaceDN/>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risje@us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amariaflo@usal.es" TargetMode="External"/><Relationship Id="rId5" Type="http://schemas.openxmlformats.org/officeDocument/2006/relationships/hyperlink" Target="mailto:nrobaina@usal.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616</Words>
  <Characters>3392</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¿eficacia escolar y educación inclusiva?</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¿eficacia escolar y educación inclusiva?</dc:title>
  <dc:subject>Asignatura: Escuela inclusiva y desigualdad</dc:subject>
  <dc:creator>Isabel López Cobo</dc:creator>
  <cp:lastModifiedBy>Noelia</cp:lastModifiedBy>
  <cp:revision>4</cp:revision>
  <dcterms:created xsi:type="dcterms:W3CDTF">2021-02-16T11:07:00Z</dcterms:created>
  <dcterms:modified xsi:type="dcterms:W3CDTF">2021-02-16T15:49:00Z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2018-04-03T00:00:00Z</vt:filetime>
  </property>
  <property fmtid="{D5CDD505-2E9C-101B-9397-08002B2CF9AE}" pid="3" name="Creator">
    <vt:lpwstr>Microsoft® Word 2013</vt:lpwstr>
  </property>
  <property fmtid="{D5CDD505-2E9C-101B-9397-08002B2CF9AE}" pid="4" name="LastSaved">
    <vt:filetime>2021-02-15T00:00:00Z</vt:filetime>
  </property>
</Properties>
</file>