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spacing w:lineRule="auto" w:line="276" w:before="0" w:after="200"/>
        <w:jc w:val="both"/>
        <w:rPr>
          <w:rFonts w:ascii="Verdana" w:hAnsi="Verdana"/>
          <w:sz w:val="20"/>
          <w:szCs w:val="20"/>
        </w:rPr>
      </w:pPr>
      <w:r>
        <w:rPr>
          <w:rFonts w:cs="Times New Roman" w:ascii="Verdana" w:hAnsi="Verdana"/>
          <w:b/>
          <w:sz w:val="20"/>
          <w:szCs w:val="20"/>
        </w:rPr>
        <w:t>CENTROS EDUCATIVOS TERAPÉUTICOS. ATENCIÓN A ALUMNADO CON TRASTORNO MENTAL GRAVE</w:t>
      </w:r>
    </w:p>
    <w:p>
      <w:pPr>
        <w:pStyle w:val="Normal"/>
        <w:widowControl/>
        <w:suppressAutoHyphens w:val="false"/>
        <w:spacing w:lineRule="auto" w:line="276" w:before="0" w:after="200"/>
        <w:rPr>
          <w:rFonts w:ascii="Verdana" w:hAnsi="Verdana"/>
          <w:sz w:val="20"/>
          <w:szCs w:val="20"/>
        </w:rPr>
      </w:pPr>
      <w:r>
        <w:rPr>
          <w:rFonts w:ascii="Verdana" w:hAnsi="Verdana"/>
          <w:i/>
          <w:sz w:val="20"/>
          <w:szCs w:val="20"/>
        </w:rPr>
        <w:t xml:space="preserve">Therapeutic Educational Centers. Attention to </w:t>
      </w:r>
      <w:r>
        <w:rPr>
          <w:rFonts w:ascii="Verdana" w:hAnsi="Verdana"/>
          <w:i/>
          <w:sz w:val="20"/>
          <w:szCs w:val="20"/>
        </w:rPr>
        <w:t>Students</w:t>
      </w:r>
      <w:r>
        <w:rPr>
          <w:rFonts w:ascii="Verdana" w:hAnsi="Verdana"/>
          <w:i/>
          <w:sz w:val="20"/>
          <w:szCs w:val="20"/>
        </w:rPr>
        <w:t xml:space="preserve"> with Severe Mental Disorder </w:t>
      </w:r>
    </w:p>
    <w:p>
      <w:pPr>
        <w:pStyle w:val="Normal"/>
        <w:jc w:val="right"/>
        <w:rPr>
          <w:rFonts w:ascii="Verdana" w:hAnsi="Verdana"/>
          <w:sz w:val="20"/>
          <w:szCs w:val="20"/>
        </w:rPr>
      </w:pPr>
      <w:r>
        <w:rPr>
          <w:rFonts w:ascii="Verdana" w:hAnsi="Verdana"/>
          <w:sz w:val="20"/>
          <w:szCs w:val="20"/>
        </w:rPr>
        <w:t>Crespo Molero, Francisco</w:t>
      </w:r>
    </w:p>
    <w:p>
      <w:pPr>
        <w:pStyle w:val="Normal"/>
        <w:jc w:val="right"/>
        <w:rPr>
          <w:rFonts w:ascii="Verdana" w:hAnsi="Verdana"/>
          <w:sz w:val="20"/>
          <w:szCs w:val="20"/>
        </w:rPr>
      </w:pPr>
      <w:r>
        <w:rPr>
          <w:rFonts w:ascii="Verdana" w:hAnsi="Verdana"/>
          <w:sz w:val="20"/>
          <w:szCs w:val="20"/>
        </w:rPr>
        <w:t>Escuela Internacional de Doctorado. UNED</w:t>
      </w:r>
    </w:p>
    <w:p>
      <w:pPr>
        <w:pStyle w:val="Normal"/>
        <w:widowControl/>
        <w:suppressAutoHyphens w:val="false"/>
        <w:spacing w:lineRule="auto" w:line="276" w:before="0" w:after="200"/>
        <w:jc w:val="right"/>
        <w:rPr/>
      </w:pPr>
      <w:hyperlink r:id="rId2">
        <w:r>
          <w:rPr>
            <w:rStyle w:val="EnlacedeInternet"/>
            <w:rFonts w:eastAsia="NSimSun" w:cs="Mangal" w:ascii="Verdana" w:hAnsi="Verdana"/>
            <w:i w:val="false"/>
            <w:iCs w:val="false"/>
            <w:color w:val="auto"/>
            <w:kern w:val="2"/>
            <w:sz w:val="20"/>
            <w:szCs w:val="20"/>
            <w:highlight w:val="white"/>
            <w:lang w:val="es-ES" w:eastAsia="zh-CN" w:bidi="hi-IN"/>
          </w:rPr>
          <w:t>fcrespo59@alumno.uned.es</w:t>
        </w:r>
      </w:hyperlink>
    </w:p>
    <w:p>
      <w:pPr>
        <w:pStyle w:val="Normal"/>
        <w:jc w:val="left"/>
        <w:rPr>
          <w:rFonts w:ascii="Verdana" w:hAnsi="Verdana"/>
          <w:sz w:val="20"/>
          <w:szCs w:val="20"/>
        </w:rPr>
      </w:pPr>
      <w:r>
        <w:rPr>
          <w:rFonts w:ascii="Verdana" w:hAnsi="Verdana"/>
          <w:sz w:val="20"/>
          <w:szCs w:val="20"/>
        </w:rPr>
      </w:r>
    </w:p>
    <w:p>
      <w:pPr>
        <w:pStyle w:val="Normal"/>
        <w:jc w:val="left"/>
        <w:rPr>
          <w:rFonts w:ascii="Verdana" w:hAnsi="Verdana"/>
          <w:sz w:val="20"/>
          <w:szCs w:val="20"/>
        </w:rPr>
      </w:pPr>
      <w:r>
        <w:rPr>
          <w:rFonts w:ascii="Verdana" w:hAnsi="Verdana"/>
          <w:sz w:val="20"/>
          <w:szCs w:val="20"/>
        </w:rPr>
      </w:r>
    </w:p>
    <w:p>
      <w:pPr>
        <w:pStyle w:val="Normal"/>
        <w:jc w:val="left"/>
        <w:rPr>
          <w:rFonts w:ascii="Verdana" w:hAnsi="Verdana"/>
          <w:b/>
          <w:b/>
          <w:bCs/>
          <w:color w:val="auto"/>
          <w:sz w:val="20"/>
          <w:szCs w:val="20"/>
        </w:rPr>
      </w:pPr>
      <w:r>
        <w:rPr>
          <w:rFonts w:ascii="Verdana" w:hAnsi="Verdana"/>
          <w:b/>
          <w:bCs/>
          <w:color w:val="auto"/>
          <w:sz w:val="20"/>
          <w:szCs w:val="20"/>
        </w:rPr>
        <w:t>Resumen</w:t>
      </w:r>
    </w:p>
    <w:p>
      <w:pPr>
        <w:pStyle w:val="Normal"/>
        <w:spacing w:lineRule="auto" w:line="276" w:before="0" w:after="200"/>
        <w:ind w:right="57" w:hanging="0"/>
        <w:jc w:val="center"/>
        <w:rPr>
          <w:rFonts w:ascii="Verdana" w:hAnsi="Verdana"/>
          <w:color w:val="auto"/>
          <w:sz w:val="20"/>
          <w:szCs w:val="20"/>
        </w:rPr>
      </w:pPr>
      <w:r>
        <w:rPr>
          <w:rFonts w:ascii="Verdana" w:hAnsi="Verdana"/>
          <w:color w:val="auto"/>
          <w:sz w:val="20"/>
          <w:szCs w:val="20"/>
          <w:lang w:val="es-ES" w:eastAsia="zh-CN"/>
        </w:rPr>
        <w:t>La atención, que desde el ámbito educativo reciben los alumnos y alumnas con Trastorno Mental Grave, se enmarca dentro de los Hospitales de Día-Centros Educativos Terapéuticos que la Comunidad de Madrid ofrece para tal fin. Los Centros Educativos Terapéuticos se convierten en un modelo de centro que ofrece atención integral e intensiva. El alumnado con trastorno mental grave recibe atención educativa y terapéutica. Los Centros Educativos Terapéuticos dan una respuesta educativa a un momento de gravedad que obliga al alumno con trastorno mental grave a permanecer hospitalizado. Se trata de un recurso temporal y excepcional que responde a unas características excepcionales. No se trata de un recurso definitivo. El alumno enfermo con trastorno mental debería volver a su centro educativo antes o después, y es para eso para lo que los centros educativos deberían estar preparados, para dar atención educativa al alumnado enfermo con trastorno mental de manera inclusiva, permaneciendo y participando en su centro educativo de manera activa.</w:t>
      </w:r>
    </w:p>
    <w:p>
      <w:pPr>
        <w:pStyle w:val="Normal"/>
        <w:jc w:val="both"/>
        <w:rPr>
          <w:rFonts w:ascii="Verdana" w:hAnsi="Verdana"/>
          <w:color w:val="auto"/>
          <w:sz w:val="20"/>
          <w:szCs w:val="20"/>
        </w:rPr>
      </w:pPr>
      <w:r>
        <w:rPr>
          <w:rFonts w:ascii="Verdana" w:hAnsi="Verdana"/>
          <w:b/>
          <w:bCs/>
          <w:color w:val="auto"/>
          <w:sz w:val="20"/>
          <w:szCs w:val="20"/>
        </w:rPr>
        <w:t>Palabras clave:</w:t>
      </w:r>
      <w:r>
        <w:rPr>
          <w:rFonts w:ascii="Verdana" w:hAnsi="Verdana"/>
          <w:color w:val="auto"/>
          <w:sz w:val="20"/>
          <w:szCs w:val="20"/>
        </w:rPr>
        <w:t xml:space="preserve"> </w:t>
      </w:r>
      <w:r>
        <w:rPr>
          <w:rFonts w:cs="Trebuchet MS" w:ascii="Verdana" w:hAnsi="Verdana"/>
          <w:b w:val="false"/>
          <w:bCs w:val="false"/>
          <w:i w:val="false"/>
          <w:iCs w:val="false"/>
          <w:color w:val="auto"/>
          <w:sz w:val="20"/>
          <w:szCs w:val="20"/>
        </w:rPr>
        <w:t>centro educativo terapéutico, inclusión educativa, pedagogía hospitalaria, trastorno mental grave</w:t>
      </w:r>
    </w:p>
    <w:p>
      <w:pPr>
        <w:pStyle w:val="Normal"/>
        <w:jc w:val="left"/>
        <w:rPr>
          <w:rFonts w:ascii="Verdana" w:hAnsi="Verdana"/>
          <w:color w:val="auto"/>
          <w:sz w:val="20"/>
          <w:szCs w:val="20"/>
        </w:rPr>
      </w:pPr>
      <w:r>
        <w:rPr>
          <w:rFonts w:ascii="Verdana" w:hAnsi="Verdana"/>
          <w:color w:val="auto"/>
          <w:sz w:val="20"/>
          <w:szCs w:val="20"/>
        </w:rPr>
      </w:r>
    </w:p>
    <w:p>
      <w:pPr>
        <w:pStyle w:val="Normal"/>
        <w:jc w:val="left"/>
        <w:rPr>
          <w:rFonts w:ascii="Verdana" w:hAnsi="Verdana"/>
          <w:color w:val="auto"/>
          <w:sz w:val="20"/>
          <w:szCs w:val="20"/>
        </w:rPr>
      </w:pPr>
      <w:r>
        <w:rPr>
          <w:rFonts w:ascii="Verdana" w:hAnsi="Verdana"/>
          <w:color w:val="auto"/>
          <w:sz w:val="20"/>
          <w:szCs w:val="20"/>
        </w:rPr>
      </w:r>
    </w:p>
    <w:p>
      <w:pPr>
        <w:pStyle w:val="Normal"/>
        <w:jc w:val="left"/>
        <w:rPr>
          <w:rFonts w:ascii="Verdana" w:hAnsi="Verdana"/>
          <w:b/>
          <w:b/>
          <w:bCs/>
          <w:color w:val="auto"/>
          <w:sz w:val="20"/>
          <w:szCs w:val="20"/>
        </w:rPr>
      </w:pPr>
      <w:r>
        <w:rPr>
          <w:rFonts w:ascii="Verdana" w:hAnsi="Verdana"/>
          <w:b/>
          <w:bCs/>
          <w:color w:val="auto"/>
          <w:sz w:val="20"/>
          <w:szCs w:val="20"/>
        </w:rPr>
        <w:t xml:space="preserve">Abstract </w:t>
      </w:r>
    </w:p>
    <w:p>
      <w:pPr>
        <w:pStyle w:val="Normal"/>
        <w:widowControl/>
        <w:suppressAutoHyphens w:val="false"/>
        <w:spacing w:lineRule="auto" w:line="276" w:before="0" w:after="200"/>
        <w:jc w:val="center"/>
        <w:rPr>
          <w:rFonts w:ascii="Verdana" w:hAnsi="Verdana"/>
          <w:color w:val="auto"/>
          <w:sz w:val="20"/>
          <w:szCs w:val="20"/>
        </w:rPr>
      </w:pPr>
      <w:r>
        <w:rPr>
          <w:rFonts w:ascii="Verdana" w:hAnsi="Verdana"/>
          <w:i/>
          <w:color w:val="auto"/>
          <w:sz w:val="20"/>
          <w:szCs w:val="20"/>
        </w:rPr>
        <w:t>The attention, that from the educational scope receive the students with Serious Mental Disorder, is framed within the Hospitals of Day-Therapeutic Educational Centers that the Madrid Regional Authority offers for that purpose. Therapeutic Educational Centers become a model centre that provides integrated and intensive care. Students with severe mental disorders receive educational and therapeutic attention. The Therapeutic Educational Centers give an educational response to a moment of seriousness that forces the student with severe mental disorder to remain hospitalised. It is a temporary and exceptional resource that responds to extraordinary characteristics. It is not a definitive resource. The sick student with mental disorder should return to their educational centre sooner or later, and that is why schools should be prepared, to give educational attention to sick students with a mental disorder in an inclusive way, staying and participating in their centre educational actively.</w:t>
      </w:r>
    </w:p>
    <w:p>
      <w:pPr>
        <w:pStyle w:val="Normal"/>
        <w:jc w:val="both"/>
        <w:rPr>
          <w:rFonts w:ascii="Verdana" w:hAnsi="Verdana"/>
          <w:color w:val="auto"/>
          <w:sz w:val="20"/>
          <w:szCs w:val="20"/>
        </w:rPr>
      </w:pPr>
      <w:r>
        <w:rPr>
          <w:rFonts w:ascii="Verdana" w:hAnsi="Verdana"/>
          <w:b/>
          <w:bCs/>
          <w:color w:val="auto"/>
          <w:sz w:val="20"/>
          <w:szCs w:val="20"/>
        </w:rPr>
        <w:t>Key words:</w:t>
      </w:r>
      <w:r>
        <w:rPr>
          <w:rFonts w:cs="Trebuchet MS" w:ascii="Verdana" w:hAnsi="Verdana"/>
          <w:b w:val="false"/>
          <w:bCs w:val="false"/>
          <w:i w:val="false"/>
          <w:iCs w:val="false"/>
          <w:color w:val="auto"/>
          <w:sz w:val="20"/>
          <w:szCs w:val="20"/>
        </w:rPr>
        <w:t xml:space="preserve">therapeutic educational center, educational inclusion, hospital pedagogy, severe mental disorder </w:t>
      </w:r>
    </w:p>
    <w:p>
      <w:pPr>
        <w:pStyle w:val="Normal"/>
        <w:jc w:val="left"/>
        <w:rPr>
          <w:rFonts w:ascii="Verdana" w:hAnsi="Verdana"/>
          <w:color w:val="auto"/>
          <w:sz w:val="20"/>
          <w:szCs w:val="20"/>
        </w:rPr>
      </w:pPr>
      <w:r>
        <w:rPr>
          <w:rFonts w:ascii="Verdana" w:hAnsi="Verdana"/>
          <w:color w:val="auto"/>
          <w:sz w:val="20"/>
          <w:szCs w:val="20"/>
        </w:rPr>
      </w:r>
    </w:p>
    <w:p>
      <w:pPr>
        <w:pStyle w:val="Normal"/>
        <w:jc w:val="left"/>
        <w:rPr>
          <w:rFonts w:ascii="Verdana" w:hAnsi="Verdana"/>
          <w:color w:val="auto"/>
          <w:sz w:val="20"/>
          <w:szCs w:val="20"/>
        </w:rPr>
      </w:pPr>
      <w:r>
        <w:rPr>
          <w:rFonts w:ascii="Verdana" w:hAnsi="Verdana"/>
          <w:color w:val="auto"/>
          <w:sz w:val="20"/>
          <w:szCs w:val="20"/>
        </w:rPr>
      </w:r>
    </w:p>
    <w:p>
      <w:pPr>
        <w:pStyle w:val="Normal"/>
        <w:jc w:val="left"/>
        <w:rPr>
          <w:rFonts w:ascii="Verdana" w:hAnsi="Verdana"/>
          <w:color w:val="auto"/>
          <w:sz w:val="20"/>
          <w:szCs w:val="20"/>
        </w:rPr>
      </w:pPr>
      <w:r>
        <w:rPr>
          <w:rFonts w:ascii="Verdana" w:hAnsi="Verdana"/>
          <w:b/>
          <w:bCs/>
          <w:color w:val="auto"/>
          <w:sz w:val="20"/>
          <w:szCs w:val="20"/>
        </w:rPr>
        <w:t>Sobre los autores:</w:t>
      </w:r>
    </w:p>
    <w:p>
      <w:pPr>
        <w:pStyle w:val="Normal"/>
        <w:jc w:val="both"/>
        <w:rPr/>
      </w:pPr>
      <w:r>
        <w:rPr>
          <w:rFonts w:ascii="Verdana" w:hAnsi="Verdana"/>
          <w:b w:val="false"/>
          <w:i w:val="false"/>
          <w:caps w:val="false"/>
          <w:smallCaps w:val="false"/>
          <w:color w:val="auto"/>
          <w:spacing w:val="0"/>
          <w:sz w:val="20"/>
          <w:szCs w:val="20"/>
        </w:rPr>
        <w:t>Actualmente trabajo como Director del Centro Educativo Terapéutico Vallecas. He sido coordinador en el Programa de Enriquecimiento Educativo para alumnos y alumnas de Altas Capacidades. Gran parte de mi trayectoria profesional la he dedicado a la atención a la diversidad trabajando como Profesor Técnico de Servicios a la Comunidad, tanto en equipos de educación primaria como en departamentos de orientación de educación secundaria. Actualmente realizo una tesis doctoral sobre alumnado con Trastorno Mental Grave, algunos de cuyos avances están siendo publicados en diferentes congresos y revistas. Dedico parte de mi tiempo a asesorar a varias asociaciones y entidades relacionadas con el mundo educativo.</w:t>
      </w:r>
      <w:r>
        <w:rPr>
          <w:rFonts w:ascii="Verdana" w:hAnsi="Verdana"/>
          <w:color w:val="auto"/>
          <w:sz w:val="20"/>
          <w:szCs w:val="20"/>
        </w:rPr>
        <w:t xml:space="preserve"> </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Liberation Sans">
    <w:altName w:val="Arial"/>
    <w:charset w:val="00"/>
    <w:family w:val="roman"/>
    <w:pitch w:val="variable"/>
  </w:font>
  <w:font w:name="Trebuchet MS">
    <w:charset w:val="00"/>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0"/>
        <w:szCs w:val="24"/>
        <w:lang w:val="es-ES" w:eastAsia="zh-CN" w:bidi="hi-IN"/>
      </w:rPr>
    </w:rPrDefault>
    <w:pPrDefault>
      <w:pPr/>
    </w:pPrDefault>
  </w:docDefaults>
  <w:style w:type="paragraph" w:styleId="Normal">
    <w:name w:val="Normal"/>
    <w:qFormat/>
    <w:pPr>
      <w:widowControl/>
      <w:bidi w:val="0"/>
      <w:jc w:val="left"/>
    </w:pPr>
    <w:rPr>
      <w:rFonts w:ascii="Liberation Serif" w:hAnsi="Liberation Serif" w:eastAsia="NSimSun" w:cs="Mangal"/>
      <w:color w:val="auto"/>
      <w:kern w:val="2"/>
      <w:sz w:val="24"/>
      <w:szCs w:val="24"/>
      <w:lang w:val="es-ES" w:eastAsia="zh-CN" w:bidi="hi-IN"/>
    </w:rPr>
  </w:style>
  <w:style w:type="character" w:styleId="EnlacedeInternet">
    <w:name w:val="Enlace de Internet"/>
    <w:rPr>
      <w:color w:val="0000FF"/>
      <w:u w:val="single"/>
    </w:rPr>
  </w:style>
  <w:style w:type="character" w:styleId="ListLabel1">
    <w:name w:val="ListLabel 1"/>
    <w:qFormat/>
    <w:rPr>
      <w:rFonts w:ascii="Verdana" w:hAnsi="Verdana" w:eastAsia="NSimSun" w:cs="Mangal"/>
      <w:i w:val="false"/>
      <w:iCs w:val="false"/>
      <w:color w:val="auto"/>
      <w:kern w:val="2"/>
      <w:sz w:val="20"/>
      <w:szCs w:val="20"/>
      <w:highlight w:val="white"/>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Default">
    <w:name w:val="Default"/>
    <w:qFormat/>
    <w:pPr>
      <w:widowControl w:val="false"/>
      <w:bidi w:val="0"/>
      <w:jc w:val="left"/>
    </w:pPr>
    <w:rPr>
      <w:rFonts w:ascii="Trebuchet MS" w:hAnsi="Trebuchet MS" w:eastAsia="ＭＳ 明朝" w:cs="Trebuchet MS"/>
      <w:color w:val="000000"/>
      <w:kern w:val="2"/>
      <w:sz w:val="24"/>
      <w:szCs w:val="24"/>
      <w:lang w:val="es-ES" w:eastAsia="zh-CN"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crespo59@alumno.uned.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TotalTime>
  <Application>LibreOffice/6.2.4.2$Windows_X86_64 LibreOffice_project/2412653d852ce75f65fbfa83fb7e7b669a126d64</Application>
  <Pages>1</Pages>
  <Words>462</Words>
  <Characters>2807</Characters>
  <CharactersWithSpaces>3260</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2019-07-14T13:02:47Z</dcterms:created>
  <dc:creator/>
  <dc:description/>
  <dc:language>es-ES</dc:language>
  <cp:lastModifiedBy/>
  <dcterms:modified xsi:type="dcterms:W3CDTF">2019-07-14T13:45:58Z</dcterms:modified>
  <cp:revision>4</cp:revision>
  <dc:subject/>
  <dc:title/>
</cp:coreProperties>
</file>