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6D9" w:rsidRPr="003F76D9" w:rsidRDefault="003F76D9">
      <w:pPr>
        <w:rPr>
          <w:b/>
        </w:rPr>
      </w:pPr>
      <w:r w:rsidRPr="003F76D9">
        <w:rPr>
          <w:b/>
        </w:rPr>
        <w:t xml:space="preserve">TITULO EN ESPAÑOL TITULO EN INGLES </w:t>
      </w:r>
    </w:p>
    <w:p w:rsidR="003F76D9" w:rsidRPr="003F76D9" w:rsidRDefault="003F76D9" w:rsidP="003F76D9">
      <w:pPr>
        <w:spacing w:line="25" w:lineRule="atLeast"/>
        <w:rPr>
          <w:rFonts w:ascii="Times New Roman" w:eastAsia="Times New Roman" w:hAnsi="Times New Roman" w:cs="Times New Roman"/>
          <w:i/>
          <w:sz w:val="24"/>
          <w:szCs w:val="24"/>
          <w:lang w:val="es-ES_tradnl" w:eastAsia="es-ES"/>
        </w:rPr>
      </w:pPr>
      <w:r w:rsidRPr="003F76D9">
        <w:rPr>
          <w:rFonts w:ascii="Times New Roman" w:eastAsia="Times New Roman" w:hAnsi="Times New Roman" w:cs="Times New Roman"/>
          <w:bCs/>
          <w:sz w:val="24"/>
          <w:szCs w:val="24"/>
          <w:lang w:val="es-ES_tradnl" w:eastAsia="es-ES"/>
        </w:rPr>
        <w:t>BUENAS PRÁCTICAS DE LOS PROGRAMAS DE DIVERSIFICACIÓN CURRICULAR DESDE LA PERSPECTIVA DE LOS PROFESIONALES</w:t>
      </w:r>
    </w:p>
    <w:p w:rsidR="003F76D9" w:rsidRPr="003F76D9" w:rsidRDefault="003F76D9" w:rsidP="003F76D9">
      <w:pPr>
        <w:spacing w:after="0" w:line="25" w:lineRule="atLeast"/>
        <w:rPr>
          <w:rFonts w:ascii="Times New Roman" w:eastAsia="Times New Roman" w:hAnsi="Times New Roman" w:cs="Times New Roman"/>
          <w:bCs/>
          <w:i/>
          <w:sz w:val="24"/>
          <w:szCs w:val="24"/>
          <w:lang w:val="en-GB" w:eastAsia="es-ES"/>
        </w:rPr>
      </w:pPr>
      <w:r w:rsidRPr="003F76D9">
        <w:rPr>
          <w:rFonts w:ascii="Times New Roman" w:eastAsia="Times New Roman" w:hAnsi="Times New Roman" w:cs="Times New Roman"/>
          <w:bCs/>
          <w:i/>
          <w:sz w:val="24"/>
          <w:szCs w:val="24"/>
          <w:lang w:val="en-GB" w:eastAsia="es-ES"/>
        </w:rPr>
        <w:t>GOOD PRACTICES OF CURRICULAR DIVERSIFICATION PROGRAMS FROM THE PERSPECTIVE OF PROFESSIONALS</w:t>
      </w:r>
    </w:p>
    <w:p w:rsidR="003F76D9" w:rsidRPr="004507EC" w:rsidRDefault="003F76D9" w:rsidP="003F76D9">
      <w:pPr>
        <w:spacing w:after="0" w:line="25" w:lineRule="atLeast"/>
        <w:jc w:val="center"/>
        <w:rPr>
          <w:rFonts w:ascii="Times New Roman" w:eastAsia="Times New Roman" w:hAnsi="Times New Roman" w:cs="Times New Roman"/>
          <w:bCs/>
          <w:sz w:val="24"/>
          <w:szCs w:val="24"/>
          <w:lang w:val="en-GB" w:eastAsia="es-ES"/>
        </w:rPr>
      </w:pPr>
    </w:p>
    <w:p w:rsidR="003F76D9" w:rsidRPr="004526F6" w:rsidRDefault="003F76D9">
      <w:pPr>
        <w:rPr>
          <w:lang w:val="en-US"/>
        </w:rPr>
      </w:pPr>
    </w:p>
    <w:p w:rsidR="003F76D9" w:rsidRPr="003F76D9" w:rsidRDefault="003F76D9">
      <w:pPr>
        <w:rPr>
          <w:b/>
        </w:rPr>
      </w:pPr>
      <w:r w:rsidRPr="003F76D9">
        <w:rPr>
          <w:b/>
        </w:rPr>
        <w:t xml:space="preserve">APELLIDOS Y NOMBRE AUTORES INSTITUCIÓN E´MAIL </w:t>
      </w:r>
    </w:p>
    <w:p w:rsidR="003F76D9" w:rsidRDefault="003F76D9" w:rsidP="003F76D9">
      <w:pPr>
        <w:spacing w:after="0" w:line="25" w:lineRule="atLeast"/>
        <w:rPr>
          <w:rFonts w:ascii="Times New Roman" w:eastAsia="Times New Roman" w:hAnsi="Times New Roman" w:cs="Times New Roman"/>
          <w:sz w:val="24"/>
          <w:szCs w:val="24"/>
          <w:lang w:val="es-ES_tradnl" w:eastAsia="es-ES"/>
        </w:rPr>
      </w:pPr>
      <w:r w:rsidRPr="003F76D9">
        <w:rPr>
          <w:rFonts w:ascii="Times New Roman" w:eastAsia="Times New Roman" w:hAnsi="Times New Roman" w:cs="Times New Roman"/>
          <w:sz w:val="24"/>
          <w:szCs w:val="24"/>
          <w:lang w:val="es-ES_tradnl" w:eastAsia="es-ES"/>
        </w:rPr>
        <w:t xml:space="preserve">Marta Icart </w:t>
      </w:r>
      <w:proofErr w:type="spellStart"/>
      <w:r w:rsidRPr="003F76D9">
        <w:rPr>
          <w:rFonts w:ascii="Times New Roman" w:eastAsia="Times New Roman" w:hAnsi="Times New Roman" w:cs="Times New Roman"/>
          <w:sz w:val="24"/>
          <w:szCs w:val="24"/>
          <w:lang w:val="es-ES_tradnl" w:eastAsia="es-ES"/>
        </w:rPr>
        <w:t>Tresfí</w:t>
      </w:r>
      <w:proofErr w:type="spellEnd"/>
    </w:p>
    <w:p w:rsidR="004526F6" w:rsidRPr="00D44565" w:rsidRDefault="00D44565" w:rsidP="00D44565">
      <w:pPr>
        <w:pStyle w:val="Textonotapie"/>
        <w:spacing w:line="25" w:lineRule="atLeast"/>
        <w:ind w:firstLine="0"/>
        <w:jc w:val="left"/>
        <w:rPr>
          <w:rFonts w:ascii="Times New Roman" w:hAnsi="Times New Roman"/>
          <w:sz w:val="24"/>
          <w:szCs w:val="24"/>
          <w:lang w:val="it-IT"/>
        </w:rPr>
      </w:pPr>
      <w:hyperlink r:id="rId4" w:history="1">
        <w:r w:rsidR="003F76D9" w:rsidRPr="003F76D9">
          <w:rPr>
            <w:rStyle w:val="Hipervnculo"/>
            <w:rFonts w:ascii="Times New Roman" w:hAnsi="Times New Roman"/>
            <w:color w:val="auto"/>
            <w:sz w:val="24"/>
            <w:szCs w:val="24"/>
            <w:u w:val="none"/>
            <w:lang w:val="it-IT"/>
          </w:rPr>
          <w:t>micart1@xtec.cat</w:t>
        </w:r>
      </w:hyperlink>
    </w:p>
    <w:p w:rsidR="004526F6" w:rsidRPr="00D44565" w:rsidRDefault="00D44565" w:rsidP="003F76D9">
      <w:pPr>
        <w:spacing w:after="0" w:line="25" w:lineRule="atLeast"/>
        <w:rPr>
          <w:rFonts w:ascii="Times New Roman" w:eastAsia="Times New Roman" w:hAnsi="Times New Roman" w:cs="Times New Roman"/>
          <w:sz w:val="24"/>
          <w:szCs w:val="24"/>
          <w:lang w:val="es-ES_tradnl" w:eastAsia="es-ES"/>
        </w:rPr>
      </w:pPr>
      <w:r w:rsidRPr="00D44565">
        <w:rPr>
          <w:rFonts w:ascii="Times New Roman" w:eastAsia="Times New Roman" w:hAnsi="Times New Roman" w:cs="Times New Roman"/>
          <w:sz w:val="24"/>
          <w:szCs w:val="24"/>
          <w:lang w:val="es-ES_tradnl" w:eastAsia="es-ES"/>
        </w:rPr>
        <w:t>Instituto Llançà</w:t>
      </w:r>
      <w:r w:rsidR="004526F6" w:rsidRPr="00D44565">
        <w:rPr>
          <w:rFonts w:ascii="Times New Roman" w:eastAsia="Times New Roman" w:hAnsi="Times New Roman" w:cs="Times New Roman"/>
          <w:sz w:val="24"/>
          <w:szCs w:val="24"/>
          <w:lang w:val="es-ES_tradnl" w:eastAsia="es-ES"/>
        </w:rPr>
        <w:t>, Girona, España</w:t>
      </w:r>
      <w:r>
        <w:rPr>
          <w:rFonts w:ascii="Times New Roman" w:eastAsia="Times New Roman" w:hAnsi="Times New Roman" w:cs="Times New Roman"/>
          <w:sz w:val="24"/>
          <w:szCs w:val="24"/>
          <w:lang w:val="es-ES_tradnl" w:eastAsia="es-ES"/>
        </w:rPr>
        <w:t>.</w:t>
      </w:r>
    </w:p>
    <w:p w:rsidR="004526F6" w:rsidRDefault="004526F6" w:rsidP="003F76D9">
      <w:pPr>
        <w:spacing w:after="0" w:line="25" w:lineRule="atLeast"/>
        <w:rPr>
          <w:rFonts w:ascii="Times New Roman" w:eastAsia="Times New Roman" w:hAnsi="Times New Roman" w:cs="Times New Roman"/>
          <w:sz w:val="24"/>
          <w:szCs w:val="24"/>
          <w:lang w:val="es-ES_tradnl" w:eastAsia="es-ES"/>
        </w:rPr>
      </w:pPr>
    </w:p>
    <w:p w:rsidR="003F76D9" w:rsidRDefault="003F76D9" w:rsidP="003F76D9">
      <w:pPr>
        <w:spacing w:after="0" w:line="25" w:lineRule="atLeast"/>
        <w:rPr>
          <w:rFonts w:ascii="Times New Roman" w:eastAsia="Times New Roman" w:hAnsi="Times New Roman" w:cs="Times New Roman"/>
          <w:sz w:val="24"/>
          <w:szCs w:val="24"/>
          <w:lang w:val="es-ES_tradnl" w:eastAsia="es-ES"/>
        </w:rPr>
      </w:pPr>
      <w:r w:rsidRPr="003F76D9">
        <w:rPr>
          <w:rFonts w:ascii="Times New Roman" w:eastAsia="Times New Roman" w:hAnsi="Times New Roman" w:cs="Times New Roman"/>
          <w:sz w:val="24"/>
          <w:szCs w:val="24"/>
          <w:lang w:val="es-ES_tradnl" w:eastAsia="es-ES"/>
        </w:rPr>
        <w:t xml:space="preserve">Montserrat </w:t>
      </w:r>
      <w:proofErr w:type="spellStart"/>
      <w:r w:rsidRPr="003F76D9">
        <w:rPr>
          <w:rFonts w:ascii="Times New Roman" w:eastAsia="Times New Roman" w:hAnsi="Times New Roman" w:cs="Times New Roman"/>
          <w:sz w:val="24"/>
          <w:szCs w:val="24"/>
          <w:lang w:val="es-ES_tradnl" w:eastAsia="es-ES"/>
        </w:rPr>
        <w:t>Vilà</w:t>
      </w:r>
      <w:proofErr w:type="spellEnd"/>
      <w:r w:rsidRPr="003F76D9">
        <w:rPr>
          <w:rFonts w:ascii="Times New Roman" w:eastAsia="Times New Roman" w:hAnsi="Times New Roman" w:cs="Times New Roman"/>
          <w:sz w:val="24"/>
          <w:szCs w:val="24"/>
          <w:lang w:val="es-ES_tradnl" w:eastAsia="es-ES"/>
        </w:rPr>
        <w:t xml:space="preserve"> </w:t>
      </w:r>
      <w:proofErr w:type="spellStart"/>
      <w:r w:rsidRPr="003F76D9">
        <w:rPr>
          <w:rFonts w:ascii="Times New Roman" w:eastAsia="Times New Roman" w:hAnsi="Times New Roman" w:cs="Times New Roman"/>
          <w:sz w:val="24"/>
          <w:szCs w:val="24"/>
          <w:lang w:val="es-ES_tradnl" w:eastAsia="es-ES"/>
        </w:rPr>
        <w:t>Suñé</w:t>
      </w:r>
      <w:proofErr w:type="spellEnd"/>
    </w:p>
    <w:p w:rsidR="003F76D9" w:rsidRPr="00D44565" w:rsidRDefault="003F76D9" w:rsidP="00D44565">
      <w:pPr>
        <w:pStyle w:val="Textonotapie"/>
        <w:spacing w:line="25" w:lineRule="atLeast"/>
        <w:ind w:firstLine="0"/>
        <w:jc w:val="left"/>
        <w:rPr>
          <w:rFonts w:ascii="Times New Roman" w:hAnsi="Times New Roman"/>
          <w:sz w:val="24"/>
          <w:szCs w:val="24"/>
          <w:lang w:val="it-IT"/>
        </w:rPr>
      </w:pPr>
      <w:r w:rsidRPr="003F76D9">
        <w:rPr>
          <w:rStyle w:val="Refdenotaalpie"/>
          <w:rFonts w:ascii="Times New Roman" w:hAnsi="Times New Roman"/>
          <w:sz w:val="24"/>
          <w:szCs w:val="24"/>
          <w:vertAlign w:val="baseline"/>
          <w:lang w:val="it-IT"/>
        </w:rPr>
        <w:t>montserrat.vila@udg.edu</w:t>
      </w:r>
    </w:p>
    <w:p w:rsidR="003F76D9" w:rsidRPr="003F76D9" w:rsidRDefault="003F76D9" w:rsidP="003F76D9">
      <w:pPr>
        <w:spacing w:line="25" w:lineRule="atLeast"/>
        <w:rPr>
          <w:rFonts w:ascii="Times New Roman" w:eastAsia="Times New Roman" w:hAnsi="Times New Roman" w:cs="Times New Roman"/>
          <w:bCs/>
          <w:sz w:val="24"/>
          <w:szCs w:val="24"/>
          <w:lang w:val="es-ES_tradnl" w:eastAsia="es-ES"/>
        </w:rPr>
      </w:pPr>
      <w:r w:rsidRPr="003F76D9">
        <w:rPr>
          <w:rFonts w:ascii="Times New Roman" w:eastAsia="Times New Roman" w:hAnsi="Times New Roman" w:cs="Times New Roman"/>
          <w:bCs/>
          <w:sz w:val="24"/>
          <w:szCs w:val="24"/>
          <w:lang w:val="es-ES_tradnl" w:eastAsia="es-ES"/>
        </w:rPr>
        <w:t>Universitat de Girona. Departamento de Pedagogía. Girona, España.</w:t>
      </w:r>
    </w:p>
    <w:p w:rsidR="003F76D9" w:rsidRPr="003F76D9" w:rsidRDefault="003F76D9" w:rsidP="003F76D9">
      <w:pPr>
        <w:rPr>
          <w:rFonts w:ascii="Times New Roman" w:hAnsi="Times New Roman" w:cs="Times New Roman"/>
          <w:sz w:val="24"/>
          <w:szCs w:val="24"/>
        </w:rPr>
      </w:pPr>
    </w:p>
    <w:p w:rsidR="003F76D9" w:rsidRPr="003F76D9" w:rsidRDefault="003F76D9">
      <w:pPr>
        <w:rPr>
          <w:b/>
        </w:rPr>
      </w:pPr>
      <w:r w:rsidRPr="003F76D9">
        <w:rPr>
          <w:b/>
        </w:rPr>
        <w:t xml:space="preserve">Resumen </w:t>
      </w:r>
    </w:p>
    <w:p w:rsidR="003F76D9" w:rsidRPr="003F76D9" w:rsidRDefault="003F76D9" w:rsidP="003F76D9">
      <w:pPr>
        <w:spacing w:after="100" w:afterAutospacing="1" w:line="25" w:lineRule="atLeast"/>
        <w:ind w:firstLine="397"/>
        <w:jc w:val="both"/>
        <w:rPr>
          <w:rFonts w:ascii="Times New Roman" w:hAnsi="Times New Roman" w:cs="Times New Roman"/>
          <w:b/>
          <w:sz w:val="24"/>
          <w:szCs w:val="24"/>
          <w:lang w:val="es-ES_tradnl"/>
        </w:rPr>
      </w:pPr>
      <w:r w:rsidRPr="003F76D9">
        <w:rPr>
          <w:rFonts w:ascii="Times New Roman" w:hAnsi="Times New Roman" w:cs="Times New Roman"/>
          <w:sz w:val="24"/>
          <w:szCs w:val="24"/>
          <w:lang w:val="es-ES_tradnl"/>
        </w:rPr>
        <w:t>Los programas de diversificación curricular (</w:t>
      </w:r>
      <w:proofErr w:type="spellStart"/>
      <w:r w:rsidRPr="003F76D9">
        <w:rPr>
          <w:rFonts w:ascii="Times New Roman" w:hAnsi="Times New Roman" w:cs="Times New Roman"/>
          <w:sz w:val="24"/>
          <w:szCs w:val="24"/>
          <w:lang w:val="es-ES_tradnl"/>
        </w:rPr>
        <w:t>PDCs</w:t>
      </w:r>
      <w:proofErr w:type="spellEnd"/>
      <w:r w:rsidRPr="003F76D9">
        <w:rPr>
          <w:rFonts w:ascii="Times New Roman" w:hAnsi="Times New Roman" w:cs="Times New Roman"/>
          <w:sz w:val="24"/>
          <w:szCs w:val="24"/>
          <w:lang w:val="es-ES_tradnl"/>
        </w:rPr>
        <w:t>) son una medida específica de atención a la diversidad que en el Estado español acumula quince años de trayectoria. Aparecieron con la intención de dar una segunda oportunidad al alumnado de la etapa de Educación Secundaria Obligatoria (ESO) con pocas expectativas de éxito educativo.</w:t>
      </w:r>
    </w:p>
    <w:p w:rsidR="003F76D9" w:rsidRPr="003F76D9" w:rsidRDefault="003F76D9" w:rsidP="003F76D9">
      <w:pPr>
        <w:spacing w:before="100" w:beforeAutospacing="1" w:after="100" w:afterAutospacing="1" w:line="25" w:lineRule="atLeast"/>
        <w:ind w:firstLine="397"/>
        <w:jc w:val="both"/>
        <w:rPr>
          <w:rFonts w:ascii="Times New Roman" w:hAnsi="Times New Roman" w:cs="Times New Roman"/>
          <w:b/>
          <w:sz w:val="24"/>
          <w:szCs w:val="24"/>
          <w:lang w:val="es-ES_tradnl"/>
        </w:rPr>
      </w:pPr>
      <w:r w:rsidRPr="003F76D9">
        <w:rPr>
          <w:rFonts w:ascii="Times New Roman" w:eastAsia="Times New Roman" w:hAnsi="Times New Roman" w:cs="Times New Roman"/>
          <w:sz w:val="24"/>
          <w:szCs w:val="24"/>
          <w:lang w:val="es-ES_tradnl" w:eastAsia="es-ES"/>
        </w:rPr>
        <w:t xml:space="preserve">El artículo que se presenta forma parte de una investigación, </w:t>
      </w:r>
      <w:r w:rsidRPr="003F76D9">
        <w:rPr>
          <w:rFonts w:ascii="Times New Roman" w:hAnsi="Times New Roman" w:cs="Times New Roman"/>
          <w:sz w:val="24"/>
          <w:szCs w:val="24"/>
          <w:lang w:val="es-ES_tradnl"/>
        </w:rPr>
        <w:t xml:space="preserve">planteada bajo una perspectiva metodológica cualitativa, </w:t>
      </w:r>
      <w:r w:rsidRPr="003F76D9">
        <w:rPr>
          <w:rFonts w:ascii="Times New Roman" w:eastAsia="Times New Roman" w:hAnsi="Times New Roman" w:cs="Times New Roman"/>
          <w:sz w:val="24"/>
          <w:szCs w:val="24"/>
          <w:lang w:val="es-ES_tradnl" w:eastAsia="es-ES"/>
        </w:rPr>
        <w:t xml:space="preserve">que tiene como finalidad conocer las características principales de los </w:t>
      </w:r>
      <w:proofErr w:type="spellStart"/>
      <w:r w:rsidRPr="003F76D9">
        <w:rPr>
          <w:rFonts w:ascii="Times New Roman" w:eastAsia="Times New Roman" w:hAnsi="Times New Roman" w:cs="Times New Roman"/>
          <w:sz w:val="24"/>
          <w:szCs w:val="24"/>
          <w:lang w:val="es-ES_tradnl" w:eastAsia="es-ES"/>
        </w:rPr>
        <w:t>PDCs</w:t>
      </w:r>
      <w:proofErr w:type="spellEnd"/>
      <w:r w:rsidRPr="003F76D9">
        <w:rPr>
          <w:rFonts w:ascii="Times New Roman" w:eastAsia="Times New Roman" w:hAnsi="Times New Roman" w:cs="Times New Roman"/>
          <w:sz w:val="24"/>
          <w:szCs w:val="24"/>
          <w:lang w:val="es-ES_tradnl" w:eastAsia="es-ES"/>
        </w:rPr>
        <w:t xml:space="preserve"> (modalidad A) en Catalunya e identificar los rasgos favorecedores de buenas prácticas en estos programas. En concreto, se presenta </w:t>
      </w:r>
      <w:r w:rsidRPr="003F76D9">
        <w:rPr>
          <w:rFonts w:ascii="Times New Roman" w:hAnsi="Times New Roman" w:cs="Times New Roman"/>
          <w:sz w:val="24"/>
          <w:szCs w:val="24"/>
          <w:lang w:val="es-ES_tradnl"/>
        </w:rPr>
        <w:t xml:space="preserve">el estudio de caso de diez </w:t>
      </w:r>
      <w:proofErr w:type="spellStart"/>
      <w:r w:rsidRPr="003F76D9">
        <w:rPr>
          <w:rFonts w:ascii="Times New Roman" w:hAnsi="Times New Roman" w:cs="Times New Roman"/>
          <w:sz w:val="24"/>
          <w:szCs w:val="24"/>
          <w:lang w:val="es-ES_tradnl"/>
        </w:rPr>
        <w:t>PDCs</w:t>
      </w:r>
      <w:proofErr w:type="spellEnd"/>
      <w:r w:rsidRPr="003F76D9">
        <w:rPr>
          <w:rFonts w:ascii="Times New Roman" w:hAnsi="Times New Roman" w:cs="Times New Roman"/>
          <w:sz w:val="24"/>
          <w:szCs w:val="24"/>
          <w:lang w:val="es-ES_tradnl"/>
        </w:rPr>
        <w:t xml:space="preserve">. que </w:t>
      </w:r>
      <w:r w:rsidRPr="003F76D9">
        <w:rPr>
          <w:rFonts w:ascii="Times New Roman" w:eastAsia="Times New Roman" w:hAnsi="Times New Roman" w:cs="Times New Roman"/>
          <w:sz w:val="24"/>
          <w:szCs w:val="24"/>
          <w:lang w:val="es-ES_tradnl" w:eastAsia="es-ES"/>
        </w:rPr>
        <w:t xml:space="preserve">se centra en conocer la opinión de los profesionales sobre los </w:t>
      </w:r>
      <w:proofErr w:type="spellStart"/>
      <w:r w:rsidRPr="003F76D9">
        <w:rPr>
          <w:rFonts w:ascii="Times New Roman" w:eastAsia="Times New Roman" w:hAnsi="Times New Roman" w:cs="Times New Roman"/>
          <w:sz w:val="24"/>
          <w:szCs w:val="24"/>
          <w:lang w:val="es-ES_tradnl" w:eastAsia="es-ES"/>
        </w:rPr>
        <w:t>PDCs</w:t>
      </w:r>
      <w:proofErr w:type="spellEnd"/>
      <w:r w:rsidRPr="003F76D9">
        <w:rPr>
          <w:rFonts w:ascii="Times New Roman" w:eastAsia="Times New Roman" w:hAnsi="Times New Roman" w:cs="Times New Roman"/>
          <w:sz w:val="24"/>
          <w:szCs w:val="24"/>
          <w:lang w:val="es-ES_tradnl" w:eastAsia="es-ES"/>
        </w:rPr>
        <w:t xml:space="preserve"> (modalidad A) en institutos públicos de las comarcas de Girona. Se recoge información a partir de entrevistas semiestructuradas a orientadores educativos de centro y tutores de alumnos de los </w:t>
      </w:r>
      <w:proofErr w:type="spellStart"/>
      <w:r w:rsidRPr="003F76D9">
        <w:rPr>
          <w:rFonts w:ascii="Times New Roman" w:eastAsia="Times New Roman" w:hAnsi="Times New Roman" w:cs="Times New Roman"/>
          <w:sz w:val="24"/>
          <w:szCs w:val="24"/>
          <w:lang w:val="es-ES_tradnl" w:eastAsia="es-ES"/>
        </w:rPr>
        <w:t>PDCs</w:t>
      </w:r>
      <w:proofErr w:type="spellEnd"/>
      <w:r w:rsidRPr="003F76D9">
        <w:rPr>
          <w:rFonts w:ascii="Times New Roman" w:eastAsia="Times New Roman" w:hAnsi="Times New Roman" w:cs="Times New Roman"/>
          <w:sz w:val="24"/>
          <w:szCs w:val="24"/>
          <w:lang w:val="es-ES_tradnl" w:eastAsia="es-ES"/>
        </w:rPr>
        <w:t xml:space="preserve">. </w:t>
      </w:r>
      <w:r w:rsidRPr="003F76D9">
        <w:rPr>
          <w:rFonts w:ascii="Times New Roman" w:eastAsia="Times New Roman" w:hAnsi="Times New Roman" w:cs="Times New Roman"/>
          <w:sz w:val="24"/>
          <w:szCs w:val="24"/>
          <w:lang w:eastAsia="ca-ES"/>
        </w:rPr>
        <w:t xml:space="preserve">Se realiza un análisis temático y del contenido a partir de los conceptos recogidos en los aspectos teóricos previamente definidos. Los resultados muestran la opinión de los profesionales en cuanto al fin de los </w:t>
      </w:r>
      <w:proofErr w:type="spellStart"/>
      <w:r w:rsidRPr="003F76D9">
        <w:rPr>
          <w:rFonts w:ascii="Times New Roman" w:eastAsia="Times New Roman" w:hAnsi="Times New Roman" w:cs="Times New Roman"/>
          <w:sz w:val="24"/>
          <w:szCs w:val="24"/>
          <w:lang w:eastAsia="ca-ES"/>
        </w:rPr>
        <w:t>PDCs</w:t>
      </w:r>
      <w:proofErr w:type="spellEnd"/>
      <w:r w:rsidRPr="003F76D9">
        <w:rPr>
          <w:rFonts w:ascii="Times New Roman" w:eastAsia="Times New Roman" w:hAnsi="Times New Roman" w:cs="Times New Roman"/>
          <w:sz w:val="24"/>
          <w:szCs w:val="24"/>
          <w:lang w:eastAsia="ca-ES"/>
        </w:rPr>
        <w:t>, estructura curricular, criterios y procedimientos de admisión de alumnos, asignación del profesorado, etc.</w:t>
      </w:r>
    </w:p>
    <w:p w:rsidR="003F76D9" w:rsidRPr="003F76D9" w:rsidRDefault="003F76D9" w:rsidP="003F76D9">
      <w:pPr>
        <w:spacing w:before="120" w:line="25" w:lineRule="atLeast"/>
        <w:ind w:firstLine="397"/>
        <w:jc w:val="both"/>
        <w:rPr>
          <w:rFonts w:ascii="Times New Roman" w:hAnsi="Times New Roman" w:cs="Times New Roman"/>
          <w:sz w:val="24"/>
          <w:szCs w:val="24"/>
          <w:lang w:val="es-ES_tradnl"/>
        </w:rPr>
      </w:pPr>
      <w:r w:rsidRPr="003F76D9">
        <w:rPr>
          <w:rFonts w:ascii="Times New Roman" w:hAnsi="Times New Roman" w:cs="Times New Roman"/>
          <w:sz w:val="24"/>
          <w:szCs w:val="24"/>
          <w:lang w:val="es-ES_tradnl"/>
        </w:rPr>
        <w:t xml:space="preserve">El estudio concluye con la identificación de algunas buenas prácticas de intervención educativa en los </w:t>
      </w:r>
      <w:proofErr w:type="spellStart"/>
      <w:r w:rsidRPr="003F76D9">
        <w:rPr>
          <w:rFonts w:ascii="Times New Roman" w:hAnsi="Times New Roman" w:cs="Times New Roman"/>
          <w:sz w:val="24"/>
          <w:szCs w:val="24"/>
          <w:lang w:val="es-ES_tradnl"/>
        </w:rPr>
        <w:t>PDCs</w:t>
      </w:r>
      <w:proofErr w:type="spellEnd"/>
      <w:r w:rsidRPr="003F76D9">
        <w:rPr>
          <w:rFonts w:ascii="Times New Roman" w:hAnsi="Times New Roman" w:cs="Times New Roman"/>
          <w:sz w:val="24"/>
          <w:szCs w:val="24"/>
          <w:lang w:val="es-ES_tradnl"/>
        </w:rPr>
        <w:t>: el planteamiento a medio plazo del PDC, la organización de una distribución horaria de las materias, la incorporación de alumnos antes de tercero de ESO, etc.</w:t>
      </w:r>
    </w:p>
    <w:p w:rsidR="003F76D9" w:rsidRDefault="003F76D9"/>
    <w:p w:rsidR="003F76D9" w:rsidRPr="003F76D9" w:rsidRDefault="003F76D9">
      <w:pPr>
        <w:rPr>
          <w:b/>
        </w:rPr>
      </w:pPr>
      <w:r w:rsidRPr="003F76D9">
        <w:rPr>
          <w:b/>
        </w:rPr>
        <w:t xml:space="preserve">Palabras clave: </w:t>
      </w:r>
    </w:p>
    <w:p w:rsidR="003F76D9" w:rsidRPr="003F76D9" w:rsidRDefault="003F76D9">
      <w:pPr>
        <w:rPr>
          <w:sz w:val="24"/>
          <w:szCs w:val="24"/>
        </w:rPr>
      </w:pPr>
      <w:r w:rsidRPr="003F76D9">
        <w:rPr>
          <w:rFonts w:ascii="Times New Roman" w:eastAsia="Times New Roman" w:hAnsi="Times New Roman" w:cs="Times New Roman"/>
          <w:bCs/>
          <w:sz w:val="24"/>
          <w:szCs w:val="24"/>
          <w:lang w:val="es-ES_tradnl" w:eastAsia="es-ES"/>
        </w:rPr>
        <w:t>Buenas prácticas, Educación inclusiva, Educación secundaria obligatoria, Programas de diversificación curricular (PDC), Opinión profesionales.</w:t>
      </w:r>
    </w:p>
    <w:p w:rsidR="003F76D9" w:rsidRPr="004526F6" w:rsidRDefault="003F76D9">
      <w:pPr>
        <w:rPr>
          <w:b/>
          <w:lang w:val="en-US"/>
        </w:rPr>
      </w:pPr>
      <w:r w:rsidRPr="004526F6">
        <w:rPr>
          <w:b/>
          <w:lang w:val="en-US"/>
        </w:rPr>
        <w:lastRenderedPageBreak/>
        <w:t xml:space="preserve">Abstract </w:t>
      </w:r>
    </w:p>
    <w:p w:rsidR="003F76D9" w:rsidRPr="003F76D9" w:rsidRDefault="003F76D9" w:rsidP="003F76D9">
      <w:pPr>
        <w:spacing w:line="25" w:lineRule="atLeast"/>
        <w:ind w:firstLine="426"/>
        <w:jc w:val="both"/>
        <w:rPr>
          <w:rFonts w:ascii="Times New Roman" w:eastAsia="Times New Roman" w:hAnsi="Times New Roman" w:cs="Times New Roman"/>
          <w:bCs/>
          <w:sz w:val="24"/>
          <w:szCs w:val="24"/>
          <w:lang w:val="en-GB" w:eastAsia="es-ES"/>
        </w:rPr>
      </w:pPr>
      <w:r w:rsidRPr="003F76D9">
        <w:rPr>
          <w:rFonts w:ascii="Times New Roman" w:eastAsia="Times New Roman" w:hAnsi="Times New Roman" w:cs="Times New Roman"/>
          <w:bCs/>
          <w:sz w:val="24"/>
          <w:szCs w:val="24"/>
          <w:lang w:val="en-GB" w:eastAsia="es-ES"/>
        </w:rPr>
        <w:t>Curricular diversification programs (PDCs) are a specific measure of attention to diversity that has been running in Spain for fifteen years. They appeared with the intention of giving a second chance to students of Compulsory Secondary Education (ESO) with poor expectations of educational success.</w:t>
      </w:r>
    </w:p>
    <w:p w:rsidR="003F76D9" w:rsidRPr="003F76D9" w:rsidRDefault="003F76D9" w:rsidP="003F76D9">
      <w:pPr>
        <w:spacing w:line="25" w:lineRule="atLeast"/>
        <w:jc w:val="both"/>
        <w:rPr>
          <w:rFonts w:ascii="Times New Roman" w:hAnsi="Times New Roman" w:cs="Times New Roman"/>
          <w:sz w:val="24"/>
          <w:szCs w:val="24"/>
          <w:lang w:val="en-GB"/>
        </w:rPr>
      </w:pPr>
      <w:r w:rsidRPr="003F76D9">
        <w:rPr>
          <w:rFonts w:ascii="Times New Roman" w:hAnsi="Times New Roman" w:cs="Times New Roman"/>
          <w:sz w:val="24"/>
          <w:szCs w:val="24"/>
          <w:lang w:val="en-GB"/>
        </w:rPr>
        <w:t xml:space="preserve">The present article is part of a research developed from a qualitative methodological approach whose purpose is to know the main characteristics of the CDPs (modality A) in Catalonia and to identify the </w:t>
      </w:r>
      <w:proofErr w:type="spellStart"/>
      <w:r w:rsidRPr="003F76D9">
        <w:rPr>
          <w:rFonts w:ascii="Times New Roman" w:hAnsi="Times New Roman" w:cs="Times New Roman"/>
          <w:sz w:val="24"/>
          <w:szCs w:val="24"/>
          <w:lang w:val="en-GB"/>
        </w:rPr>
        <w:t>favorable</w:t>
      </w:r>
      <w:proofErr w:type="spellEnd"/>
      <w:r w:rsidRPr="003F76D9">
        <w:rPr>
          <w:rFonts w:ascii="Times New Roman" w:hAnsi="Times New Roman" w:cs="Times New Roman"/>
          <w:sz w:val="24"/>
          <w:szCs w:val="24"/>
          <w:lang w:val="en-GB"/>
        </w:rPr>
        <w:t xml:space="preserve"> traits of good practices in these programs. In particular, we present the case study of ten CDPs focussing on professionals’ opinions on CDPs (modality A) in public high schools of the Girona region. It includes information collected in </w:t>
      </w:r>
      <w:proofErr w:type="spellStart"/>
      <w:r w:rsidRPr="003F76D9">
        <w:rPr>
          <w:rFonts w:ascii="Times New Roman" w:hAnsi="Times New Roman" w:cs="Times New Roman"/>
          <w:sz w:val="24"/>
          <w:szCs w:val="24"/>
          <w:lang w:val="en-GB"/>
        </w:rPr>
        <w:t>semistructured</w:t>
      </w:r>
      <w:proofErr w:type="spellEnd"/>
      <w:r w:rsidRPr="003F76D9">
        <w:rPr>
          <w:rFonts w:ascii="Times New Roman" w:hAnsi="Times New Roman" w:cs="Times New Roman"/>
          <w:sz w:val="24"/>
          <w:szCs w:val="24"/>
          <w:lang w:val="en-GB"/>
        </w:rPr>
        <w:t xml:space="preserve"> interviews with school educational </w:t>
      </w:r>
      <w:proofErr w:type="spellStart"/>
      <w:r w:rsidRPr="003F76D9">
        <w:rPr>
          <w:rFonts w:ascii="Times New Roman" w:hAnsi="Times New Roman" w:cs="Times New Roman"/>
          <w:sz w:val="24"/>
          <w:szCs w:val="24"/>
          <w:lang w:val="en-GB"/>
        </w:rPr>
        <w:t>counselors</w:t>
      </w:r>
      <w:proofErr w:type="spellEnd"/>
      <w:r w:rsidRPr="003F76D9">
        <w:rPr>
          <w:rFonts w:ascii="Times New Roman" w:hAnsi="Times New Roman" w:cs="Times New Roman"/>
          <w:sz w:val="24"/>
          <w:szCs w:val="24"/>
          <w:lang w:val="en-GB"/>
        </w:rPr>
        <w:t xml:space="preserve"> and CDPs student tutors as well as a thematic and content analysis based on the concepts gathered in the theoretical aspects previously defined. The results show the professionals’ opinions regarding the CDPs goal, curricular structure, criteria and procedures for student admission, assignment of teachers, etc.</w:t>
      </w:r>
    </w:p>
    <w:p w:rsidR="003F76D9" w:rsidRPr="003F76D9" w:rsidRDefault="003F76D9" w:rsidP="003F76D9">
      <w:pPr>
        <w:spacing w:line="25" w:lineRule="atLeast"/>
        <w:ind w:firstLine="426"/>
        <w:jc w:val="both"/>
        <w:rPr>
          <w:rFonts w:ascii="Times New Roman" w:eastAsia="Times New Roman" w:hAnsi="Times New Roman" w:cs="Times New Roman"/>
          <w:bCs/>
          <w:sz w:val="24"/>
          <w:szCs w:val="24"/>
          <w:lang w:val="en-GB" w:eastAsia="es-ES"/>
        </w:rPr>
      </w:pPr>
      <w:r w:rsidRPr="003F76D9">
        <w:rPr>
          <w:rFonts w:ascii="Times New Roman" w:eastAsia="Times New Roman" w:hAnsi="Times New Roman" w:cs="Times New Roman"/>
          <w:bCs/>
          <w:sz w:val="24"/>
          <w:szCs w:val="24"/>
          <w:lang w:val="en-GB" w:eastAsia="es-ES"/>
        </w:rPr>
        <w:t>The study concludes with the identification of some of the best practices of educational intervention in PDCs: the medium term approach of the PDC, the organization of a timetable distribution of the subjects, the admission of students before third of ESO, etc.</w:t>
      </w:r>
    </w:p>
    <w:p w:rsidR="003F76D9" w:rsidRPr="004526F6" w:rsidRDefault="003F76D9" w:rsidP="003F76D9">
      <w:pPr>
        <w:rPr>
          <w:lang w:val="en-US"/>
        </w:rPr>
      </w:pPr>
    </w:p>
    <w:p w:rsidR="003F76D9" w:rsidRPr="004526F6" w:rsidRDefault="003F76D9" w:rsidP="003F76D9">
      <w:pPr>
        <w:rPr>
          <w:b/>
          <w:lang w:val="en-US"/>
        </w:rPr>
      </w:pPr>
      <w:r w:rsidRPr="004526F6">
        <w:rPr>
          <w:b/>
          <w:lang w:val="en-US"/>
        </w:rPr>
        <w:t>Key words:</w:t>
      </w:r>
    </w:p>
    <w:p w:rsidR="003F76D9" w:rsidRDefault="003F76D9" w:rsidP="003F76D9">
      <w:pPr>
        <w:spacing w:line="25" w:lineRule="atLeast"/>
        <w:ind w:right="-2"/>
        <w:jc w:val="both"/>
        <w:rPr>
          <w:rFonts w:ascii="Times New Roman" w:eastAsia="Times New Roman" w:hAnsi="Times New Roman" w:cs="Times New Roman"/>
          <w:bCs/>
          <w:sz w:val="24"/>
          <w:szCs w:val="24"/>
          <w:lang w:val="en-GB" w:eastAsia="es-ES"/>
        </w:rPr>
      </w:pPr>
      <w:r w:rsidRPr="003F76D9">
        <w:rPr>
          <w:rFonts w:ascii="Times New Roman" w:eastAsia="Times New Roman" w:hAnsi="Times New Roman" w:cs="Times New Roman"/>
          <w:bCs/>
          <w:sz w:val="24"/>
          <w:szCs w:val="24"/>
          <w:lang w:val="en-GB" w:eastAsia="es-ES"/>
        </w:rPr>
        <w:t>Best practices, Compulsory Secondary Education, Curricular diversification programmes (CDP), Inclusive education, Professional opinion.</w:t>
      </w:r>
    </w:p>
    <w:p w:rsidR="00D44565" w:rsidRPr="003F76D9" w:rsidRDefault="00D44565" w:rsidP="003F76D9">
      <w:pPr>
        <w:spacing w:line="25" w:lineRule="atLeast"/>
        <w:ind w:right="-2"/>
        <w:jc w:val="both"/>
        <w:rPr>
          <w:rFonts w:ascii="Times New Roman" w:eastAsia="Times New Roman" w:hAnsi="Times New Roman" w:cs="Times New Roman"/>
          <w:bCs/>
          <w:sz w:val="24"/>
          <w:szCs w:val="24"/>
          <w:lang w:val="en-GB" w:eastAsia="es-ES"/>
        </w:rPr>
      </w:pPr>
    </w:p>
    <w:p w:rsidR="003F76D9" w:rsidRDefault="003F76D9">
      <w:r>
        <w:t xml:space="preserve">-------------------------------------------------------------------------------- </w:t>
      </w:r>
    </w:p>
    <w:p w:rsidR="003F76D9" w:rsidRDefault="003F76D9"/>
    <w:p w:rsidR="006641D7" w:rsidRPr="006641D7" w:rsidRDefault="003F76D9">
      <w:pPr>
        <w:rPr>
          <w:b/>
        </w:rPr>
      </w:pPr>
      <w:r w:rsidRPr="006641D7">
        <w:rPr>
          <w:b/>
        </w:rPr>
        <w:t xml:space="preserve">Sobre los autores: </w:t>
      </w:r>
    </w:p>
    <w:p w:rsidR="008C42CA" w:rsidRDefault="003F76D9">
      <w:r>
        <w:t>DATOS AUTORES</w:t>
      </w:r>
    </w:p>
    <w:p w:rsidR="004526F6" w:rsidRDefault="004526F6"/>
    <w:p w:rsidR="004526F6" w:rsidRDefault="004526F6">
      <w:bookmarkStart w:id="0" w:name="_GoBack"/>
      <w:bookmarkEnd w:id="0"/>
    </w:p>
    <w:p w:rsidR="004526F6" w:rsidRDefault="004526F6"/>
    <w:p w:rsidR="004526F6" w:rsidRDefault="004526F6" w:rsidP="004526F6">
      <w:pPr>
        <w:spacing w:after="0" w:line="240" w:lineRule="auto"/>
      </w:pPr>
    </w:p>
    <w:p w:rsidR="004526F6" w:rsidRPr="004526F6" w:rsidRDefault="004526F6" w:rsidP="004526F6">
      <w:pPr>
        <w:spacing w:after="0" w:line="240" w:lineRule="auto"/>
        <w:rPr>
          <w:b/>
        </w:rPr>
      </w:pPr>
      <w:r w:rsidRPr="004526F6">
        <w:rPr>
          <w:b/>
        </w:rPr>
        <w:t xml:space="preserve">Montserrat </w:t>
      </w:r>
      <w:proofErr w:type="spellStart"/>
      <w:r w:rsidRPr="004526F6">
        <w:rPr>
          <w:b/>
        </w:rPr>
        <w:t>Vilà</w:t>
      </w:r>
      <w:proofErr w:type="spellEnd"/>
      <w:r w:rsidRPr="004526F6">
        <w:rPr>
          <w:b/>
        </w:rPr>
        <w:t xml:space="preserve"> </w:t>
      </w:r>
      <w:proofErr w:type="spellStart"/>
      <w:r w:rsidRPr="004526F6">
        <w:rPr>
          <w:b/>
        </w:rPr>
        <w:t>Suñé</w:t>
      </w:r>
      <w:proofErr w:type="spellEnd"/>
    </w:p>
    <w:p w:rsidR="004526F6" w:rsidRDefault="004526F6" w:rsidP="004526F6">
      <w:pPr>
        <w:spacing w:after="0" w:line="240" w:lineRule="auto"/>
      </w:pPr>
      <w:r>
        <w:t>Profesora Titular de la Universitat de Girona</w:t>
      </w:r>
    </w:p>
    <w:p w:rsidR="004526F6" w:rsidRDefault="004526F6" w:rsidP="004526F6">
      <w:pPr>
        <w:spacing w:after="0" w:line="240" w:lineRule="auto"/>
      </w:pPr>
      <w:r>
        <w:t>Miembro del Instituto de Investigación Educativa y del Departamento de Pedagogía</w:t>
      </w:r>
    </w:p>
    <w:sectPr w:rsidR="004526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D9"/>
    <w:rsid w:val="003F76D9"/>
    <w:rsid w:val="004526F6"/>
    <w:rsid w:val="006641D7"/>
    <w:rsid w:val="008C42CA"/>
    <w:rsid w:val="00D44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827F"/>
  <w15:docId w15:val="{F924D428-E0BA-45AD-8592-055178A7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F76D9"/>
    <w:pPr>
      <w:spacing w:after="0" w:line="240" w:lineRule="auto"/>
      <w:ind w:firstLine="397"/>
      <w:jc w:val="both"/>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rsid w:val="003F76D9"/>
    <w:rPr>
      <w:rFonts w:ascii="Arial" w:eastAsia="Times New Roman" w:hAnsi="Arial" w:cs="Times New Roman"/>
      <w:sz w:val="20"/>
      <w:szCs w:val="20"/>
      <w:lang w:eastAsia="es-ES"/>
    </w:rPr>
  </w:style>
  <w:style w:type="character" w:styleId="Refdenotaalpie">
    <w:name w:val="footnote reference"/>
    <w:rsid w:val="003F76D9"/>
    <w:rPr>
      <w:vertAlign w:val="superscript"/>
    </w:rPr>
  </w:style>
  <w:style w:type="character" w:styleId="Hipervnculo">
    <w:name w:val="Hyperlink"/>
    <w:basedOn w:val="Fuentedeprrafopredeter"/>
    <w:uiPriority w:val="99"/>
    <w:unhideWhenUsed/>
    <w:rsid w:val="003F76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art1@xtec.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2</cp:revision>
  <dcterms:created xsi:type="dcterms:W3CDTF">2018-07-19T12:25:00Z</dcterms:created>
  <dcterms:modified xsi:type="dcterms:W3CDTF">2018-07-19T12:25:00Z</dcterms:modified>
</cp:coreProperties>
</file>